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7F06EB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第四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報)</w:t>
      </w:r>
    </w:p>
    <w:p w:rsidR="00397F18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統計截止時間：</w:t>
      </w:r>
      <w:r w:rsidR="00687B89">
        <w:rPr>
          <w:rFonts w:hint="eastAsia"/>
          <w:color w:val="000000" w:themeColor="text1"/>
        </w:rPr>
        <w:t>114/08/12 23</w:t>
      </w:r>
      <w:r>
        <w:rPr>
          <w:rFonts w:hint="eastAsia"/>
          <w:color w:val="000000" w:themeColor="text1"/>
        </w:rPr>
        <w:t>：30</w:t>
      </w:r>
    </w:p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687B89">
        <w:rPr>
          <w:rFonts w:ascii="標楷體" w:eastAsia="標楷體" w:hAnsi="標楷體" w:hint="eastAsia"/>
          <w:color w:val="000000" w:themeColor="text1"/>
        </w:rPr>
        <w:t>114/08/12 24</w:t>
      </w:r>
      <w:r>
        <w:rPr>
          <w:rFonts w:ascii="標楷體" w:eastAsia="標楷體" w:hAnsi="標楷體" w:hint="eastAsia"/>
          <w:color w:val="000000" w:themeColor="text1"/>
        </w:rPr>
        <w:t>：00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397F18" w:rsidRDefault="00917760">
      <w:p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本縣明日(8/13)停止上班、停止上課。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電力、民生用水、電信災情：無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,非持有通行證或應緊急避難之需要者不得進入或通行,並自中華民國114年8月12日14時30分起生效。因應楊柳颱風災害防救需要,特劃定本縣「向陽山區至大武山區(含中央山脈及海岸山脈)、各河川溪流水域（含土石流潛勢溪流）、長濱至大武暨蘭嶼、綠島沿線之海岸、漁港」為限制或禁止人民進入或命其離去之範圍,嚴禁從事戲水、觀潮、垂釣及捕魚等危險活動,特予公告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  <w:r>
        <w:rPr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海運部分：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蘭嶼船班:</w:t>
      </w:r>
    </w:p>
    <w:p w:rsidR="00397F18" w:rsidRDefault="00917760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 (三) 台東</w:t>
      </w:r>
      <w:r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綠島船班：</w:t>
      </w:r>
    </w:p>
    <w:p w:rsidR="00397F18" w:rsidRDefault="00917760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8/13(三)台東</w:t>
      </w:r>
      <w:r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綠島全日航班停駛。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空運部分：華信、立榮、德安航空8/13航班取消。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397F1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道路：</w:t>
      </w:r>
    </w:p>
    <w:p w:rsidR="00397F1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台9線398K+600~400K+050(金崙-多良)南下車道預計於8月12日下午16時實施南下車道交通管制，調撥北上內側車道供南下車輛通行。</w:t>
      </w:r>
    </w:p>
    <w:p w:rsidR="008B01D5" w:rsidRDefault="00917760" w:rsidP="008B01D5">
      <w:pPr>
        <w:pStyle w:val="af5"/>
        <w:numPr>
          <w:ilvl w:val="0"/>
          <w:numId w:val="16"/>
        </w:numPr>
        <w:spacing w:line="320" w:lineRule="atLeast"/>
        <w:ind w:left="2024" w:hanging="48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</w:t>
      </w:r>
      <w:r w:rsidR="008B01D5"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臺東縣太麻里鄉台9線397K+250~398K+600 (金崙大橋)，於8月12日22時實施預警性封閉。</w:t>
      </w:r>
    </w:p>
    <w:p w:rsidR="00397F1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臺東縣東河鄉台23線16K+840~25K+100北源路段，於8月12日晚上10時實施預警性封閉。</w:t>
      </w:r>
    </w:p>
    <w:p w:rsidR="008B01D5" w:rsidRPr="008B01D5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臺東縣海端鄉台20線149K+110至199K+000(向陽至初來)，預計於8月13日7時實施預警性封閉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197 縣道 25K~36K 道路封閉中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金峰鄉東64 3k+100道路施工中,單向通行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達仁鄉東68 6.2k道路施工中,單向通行。</w:t>
      </w:r>
    </w:p>
    <w:p w:rsidR="00397F1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延平聯絡道路暢通,下里道路施工可通行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8/13(三)</w:t>
      </w:r>
    </w:p>
    <w:p w:rsidR="00397F18" w:rsidRDefault="00917760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興東客運：所有路線班次全面停駛1天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Pr="00413724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東台灣客運：所有路線班次全面停駛1天。</w:t>
      </w:r>
    </w:p>
    <w:p w:rsidR="00397F18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普悠瑪客運：全線停駛１天。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西部幹線(基隆=潮州=枋寮)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對號列車</w:t>
      </w:r>
    </w:p>
    <w:p w:rsidR="00413724" w:rsidRPr="00413724" w:rsidRDefault="00413724" w:rsidP="00413724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下行列車：131次(含)前各次列車正常行駛；117、121、123次行駛至彰化；371、161、111次行駛至潮州；301次全區間停駛。</w:t>
      </w:r>
    </w:p>
    <w:p w:rsidR="00413724" w:rsidRDefault="00413724" w:rsidP="00413724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上行列車：122次(含)前各次列車正常行駛；162次潮州=南港間正常行駛。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區間(快)車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基隆=潮州間正常行駛，潮州=枋寮間視風雨狀況調整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東部幹線</w:t>
      </w:r>
    </w:p>
    <w:p w:rsidR="00413724" w:rsidRDefault="00413724" w:rsidP="00413724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北迴線、宜蘭線(花蓮=樹林)：各級列車正常行駛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8B01D5" w:rsidRPr="008B01D5" w:rsidRDefault="00413724" w:rsidP="008B01D5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花東線(臺東=花蓮)：各級列車停駛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南迴線(新左營=臺東)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8B01D5">
        <w:rPr>
          <w:rFonts w:hint="eastAsia"/>
        </w:rPr>
        <w:t xml:space="preserve"> </w:t>
      </w: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各級列車停駛；411、415次改由花蓮始發。</w:t>
      </w:r>
    </w:p>
    <w:p w:rsidR="008B01D5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支線：正常行駛。</w:t>
      </w:r>
    </w:p>
    <w:p w:rsidR="008B01D5" w:rsidRP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環島觀光列車1次、2次，藍皮列車5898次、5899次，鳴日廚房6008次、6009次列車各停駛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活動部分：臺灣國際熱氣球嘉年華活動8/13、8/14全日取消。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滯留人數：綠島260人；蘭嶼：57人。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97F18" w:rsidRPr="00687B89" w:rsidRDefault="00917760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處已於8/11通知並請各公所落實掌握颱風易致災地區之保全戶實際居住人數(最遲於颱風海警發布前一天完成)，並將重症病患、慢性疾病(如洗腎)、行動不便者(如獨居老人、幼童、身心障礙、植物人、孕婦)等弱勢族群，列為災害優先疏散撤離對象，以及針對土石流、大規模崩塌潛勢區及易成孤島地區，預為規劃預防性及強制性疏散事宜。</w:t>
      </w:r>
    </w:p>
    <w:p w:rsidR="00397F18" w:rsidRPr="00687B89" w:rsidRDefault="00917760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(12)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日下午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23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687B89" w:rsidRPr="00687B89" w:rsidRDefault="00917760" w:rsidP="00687B89">
      <w:pPr>
        <w:pStyle w:val="af5"/>
        <w:numPr>
          <w:ilvl w:val="0"/>
          <w:numId w:val="18"/>
        </w:numPr>
        <w:rPr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統計至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今(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23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43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分止，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計有池上鄉、成功鎮、太麻里鄉、大武鄉開設6處避難收容處所收容10人。</w:t>
      </w:r>
    </w:p>
    <w:p w:rsidR="00687B89" w:rsidRP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687B89">
        <w:rPr>
          <w:rFonts w:ascii="標楷體" w:eastAsia="標楷體" w:hAnsi="標楷體" w:hint="eastAsia"/>
          <w:sz w:val="28"/>
          <w:szCs w:val="28"/>
        </w:rPr>
        <w:t>池上鄉1處 2人(2女)。</w:t>
      </w:r>
    </w:p>
    <w:p w:rsidR="00687B89" w:rsidRP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687B89">
        <w:rPr>
          <w:rFonts w:ascii="標楷體" w:eastAsia="標楷體" w:hAnsi="標楷體" w:hint="eastAsia"/>
          <w:sz w:val="28"/>
          <w:szCs w:val="28"/>
        </w:rPr>
        <w:t>成功鎮1處 1人(1男)。</w:t>
      </w:r>
    </w:p>
    <w:p w:rsidR="00687B89" w:rsidRP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687B89">
        <w:rPr>
          <w:rFonts w:ascii="標楷體" w:eastAsia="標楷體" w:hAnsi="標楷體" w:hint="eastAsia"/>
          <w:sz w:val="28"/>
          <w:szCs w:val="28"/>
        </w:rPr>
        <w:t>太麻里鄉3處 5人(2男、3女)。</w:t>
      </w:r>
    </w:p>
    <w:p w:rsidR="00687B89" w:rsidRP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687B89">
        <w:rPr>
          <w:rFonts w:ascii="標楷體" w:eastAsia="標楷體" w:hAnsi="標楷體" w:hint="eastAsia"/>
          <w:sz w:val="28"/>
          <w:szCs w:val="28"/>
        </w:rPr>
        <w:t>大武鄉1處 2人(2女)。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97F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97F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無最新災情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687B89" w:rsidRDefault="00687B89">
      <w:pPr>
        <w:spacing w:line="320" w:lineRule="atLeast"/>
        <w:jc w:val="both"/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 xml:space="preserve">災害基本資料 </w:t>
      </w:r>
    </w:p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雨量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達豪雨標準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(extremely heavy rain)：指24小時累積雨量達200毫米以上，或3小時累積雨量達100毫米以上之降雨現象。)</w:t>
      </w:r>
    </w:p>
    <w:p w:rsidR="00397F18" w:rsidRDefault="00917760">
      <w:pPr>
        <w:spacing w:line="320" w:lineRule="atLeast"/>
        <w:ind w:firstLine="980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（資料來源：中央氣象署）</w:t>
      </w:r>
    </w:p>
    <w:tbl>
      <w:tblPr>
        <w:tblW w:w="3651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976"/>
        <w:gridCol w:w="1701"/>
      </w:tblGrid>
      <w:tr w:rsidR="00397F18" w:rsidTr="00687B89">
        <w:trPr>
          <w:tblHeader/>
        </w:trPr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降雨標準定義(豪雨、大豪雨、超大豪雨)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雨量(毫米)</w:t>
            </w:r>
          </w:p>
        </w:tc>
      </w:tr>
      <w:tr w:rsidR="00397F18" w:rsidTr="00687B89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蘭嶼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917760"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.5</w:t>
            </w:r>
          </w:p>
        </w:tc>
      </w:tr>
      <w:tr w:rsidR="00397F18" w:rsidTr="00687B89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華源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2.5</w:t>
            </w:r>
          </w:p>
        </w:tc>
      </w:tr>
      <w:tr w:rsidR="00397F18" w:rsidTr="00687B89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知本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5.0</w:t>
            </w:r>
          </w:p>
        </w:tc>
      </w:tr>
    </w:tbl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風速(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風力：依照氣象預報，颱風暴風半徑於四小時內可能經過的地區，其平均風力達到七級風或陣風達到十級風)（資料來源：中央氣象署）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397F18" w:rsidRPr="00687B8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    </w:t>
            </w: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平均風力或陣風（級）</w:t>
            </w:r>
          </w:p>
        </w:tc>
      </w:tr>
      <w:tr w:rsidR="00397F18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平均風力4級/陣風</w:t>
            </w:r>
            <w:r w:rsidR="008B01D5"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級</w:t>
            </w:r>
          </w:p>
        </w:tc>
      </w:tr>
      <w:tr w:rsidR="00397F18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平均風力5級/陣風</w:t>
            </w:r>
            <w:r w:rsidR="008B01D5"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級</w:t>
            </w:r>
          </w:p>
        </w:tc>
      </w:tr>
      <w:tr w:rsidR="008B01D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平均風力5級/陣風7級</w:t>
            </w:r>
          </w:p>
        </w:tc>
      </w:tr>
      <w:tr w:rsidR="008B01D5" w:rsidRPr="00687B89" w:rsidTr="008B01D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金崙山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平均風力2級/陣風4級</w:t>
            </w:r>
          </w:p>
        </w:tc>
      </w:tr>
    </w:tbl>
    <w:p w:rsidR="00397F18" w:rsidRDefault="00397F18">
      <w:pPr>
        <w:pStyle w:val="af5"/>
        <w:ind w:left="227"/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81"/>
        <w:gridCol w:w="1873"/>
        <w:gridCol w:w="3773"/>
      </w:tblGrid>
      <w:tr w:rsidR="00397F18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最高水位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161.04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新武呂(4)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317.11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144.99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鸞山橋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109.31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池上大橋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279.07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25.7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368.69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電光橋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208.21</w:t>
            </w:r>
          </w:p>
        </w:tc>
      </w:tr>
      <w:tr w:rsidR="008B01D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153.83</w:t>
            </w:r>
          </w:p>
        </w:tc>
      </w:tr>
    </w:tbl>
    <w:p w:rsidR="00397F18" w:rsidRDefault="00397F18">
      <w:pPr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地區淹水情形（資料來源：建設處）</w:t>
      </w:r>
    </w:p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97F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水利設施損害搶修情形（資料來源：水利署第八河川分署、建設處）</w:t>
      </w:r>
    </w:p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97F1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397F18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說明：本縣災害應變中心於114年8月12日14時30分1級開設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97F18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大武鄉、臺東市、綠島鄉、東河鄉、金峰鄉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蘭嶼鄉、池上鄉、達仁鄉、成功鎮、海端鄉、關山鎮、鹿野鄉、延平鄉、太麻里鄉、長濱鄉</w:t>
            </w:r>
          </w:p>
        </w:tc>
      </w:tr>
      <w:tr w:rsidR="00397F18" w:rsidTr="00513B7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513B76" w:rsidP="00513B76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(未開設) 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513B76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513B76">
            <w:pPr>
              <w:spacing w:line="320" w:lineRule="atLeast"/>
              <w:rPr>
                <w:color w:val="000000" w:themeColor="text1"/>
              </w:rPr>
            </w:pPr>
            <w:r w:rsidRPr="00513B76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</w:tr>
    </w:tbl>
    <w:p w:rsidR="00397F18" w:rsidRDefault="00397F18">
      <w:pPr>
        <w:spacing w:line="320" w:lineRule="atLeast"/>
        <w:jc w:val="both"/>
        <w:rPr>
          <w:color w:val="000000" w:themeColor="text1"/>
        </w:rPr>
      </w:pPr>
    </w:p>
    <w:p w:rsidR="00397F18" w:rsidRPr="00413724" w:rsidRDefault="00917760" w:rsidP="00413724">
      <w:pPr>
        <w:pStyle w:val="af5"/>
        <w:numPr>
          <w:ilvl w:val="0"/>
          <w:numId w:val="2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r w:rsidRPr="00413724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397F18" w:rsidRDefault="00917760">
      <w:pPr>
        <w:pStyle w:val="af5"/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註：警戒作為：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97F1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397F1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397F18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備註：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漁工安置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397F1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397F1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33BC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Pr="009A56F6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9A56F6" w:rsidRDefault="009A56F6" w:rsidP="009A56F6">
      <w:pPr>
        <w:pStyle w:val="af5"/>
        <w:ind w:left="707"/>
        <w:rPr>
          <w:rFonts w:hint="eastAsia"/>
          <w:color w:val="000000" w:themeColor="text1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本縣明日(8/13)停止上班、停止上課。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 xml:space="preserve">撤離及收容情形： </w:t>
      </w:r>
    </w:p>
    <w:p w:rsidR="00397F18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1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（資料來源：</w:t>
      </w:r>
      <w:r w:rsidRPr="008B01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民政處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）(如附件)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97F1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收容情形：（資料來源：社會處）（如附件）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97F18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災情統計：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397F18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397F18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righ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2016"/>
        <w:gridCol w:w="2078"/>
        <w:gridCol w:w="70"/>
      </w:tblGrid>
      <w:tr w:rsidR="00397F18">
        <w:trPr>
          <w:trHeight w:val="735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單位別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397F18" w:rsidRDefault="009177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交通災情狀況(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397F18" w:rsidRDefault="00917760">
      <w:pPr>
        <w:pStyle w:val="af5"/>
        <w:ind w:left="227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397F18" w:rsidRDefault="00917760">
      <w:pPr>
        <w:spacing w:line="3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72"/>
        <w:gridCol w:w="772"/>
        <w:gridCol w:w="772"/>
        <w:gridCol w:w="416"/>
        <w:gridCol w:w="419"/>
        <w:gridCol w:w="416"/>
        <w:gridCol w:w="416"/>
        <w:gridCol w:w="416"/>
        <w:gridCol w:w="416"/>
        <w:gridCol w:w="416"/>
        <w:gridCol w:w="419"/>
        <w:gridCol w:w="416"/>
        <w:gridCol w:w="416"/>
        <w:gridCol w:w="416"/>
        <w:gridCol w:w="428"/>
        <w:gridCol w:w="416"/>
        <w:gridCol w:w="420"/>
        <w:gridCol w:w="751"/>
      </w:tblGrid>
      <w:tr w:rsidR="00397F18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海巡(6)人、海巡(2)車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 w:rsidP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海巡(2)人、海巡(0)車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海巡(5)人、海巡(1)車</w:t>
            </w:r>
          </w:p>
        </w:tc>
      </w:tr>
    </w:tbl>
    <w:p w:rsidR="00397F18" w:rsidRDefault="00397F18">
      <w:pPr>
        <w:spacing w:line="320" w:lineRule="atLeast"/>
        <w:rPr>
          <w:color w:val="000000" w:themeColor="text1"/>
        </w:rPr>
      </w:pPr>
    </w:p>
    <w:p w:rsidR="00917760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支援縣市害應變處理情形:無</w:t>
      </w:r>
    </w:p>
    <w:sectPr w:rsidR="0091776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2F" w:rsidRDefault="00A43E2F" w:rsidP="007F06EB">
      <w:r>
        <w:separator/>
      </w:r>
    </w:p>
  </w:endnote>
  <w:endnote w:type="continuationSeparator" w:id="0">
    <w:p w:rsidR="00A43E2F" w:rsidRDefault="00A43E2F" w:rsidP="007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2F" w:rsidRDefault="00A43E2F" w:rsidP="007F06EB">
      <w:r>
        <w:separator/>
      </w:r>
    </w:p>
  </w:footnote>
  <w:footnote w:type="continuationSeparator" w:id="0">
    <w:p w:rsidR="00A43E2F" w:rsidRDefault="00A43E2F" w:rsidP="007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56AA30AE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0AD824A1"/>
    <w:multiLevelType w:val="hybridMultilevel"/>
    <w:tmpl w:val="FF38B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5A1802"/>
    <w:multiLevelType w:val="hybridMultilevel"/>
    <w:tmpl w:val="A5B0EC20"/>
    <w:lvl w:ilvl="0" w:tplc="4FD87B28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7" w15:restartNumberingAfterBreak="0">
    <w:nsid w:val="1F1D4B41"/>
    <w:multiLevelType w:val="hybridMultilevel"/>
    <w:tmpl w:val="93CED5B6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F396AEC"/>
    <w:multiLevelType w:val="hybridMultilevel"/>
    <w:tmpl w:val="A2528BDC"/>
    <w:lvl w:ilvl="0" w:tplc="E2C8AC5A">
      <w:start w:val="1"/>
      <w:numFmt w:val="decimal"/>
      <w:suff w:val="nothing"/>
      <w:lvlText w:val="%1.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0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4404F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04B99"/>
    <w:multiLevelType w:val="hybridMultilevel"/>
    <w:tmpl w:val="01AA552E"/>
    <w:lvl w:ilvl="0" w:tplc="3FBEE25E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CA2E28"/>
    <w:multiLevelType w:val="hybridMultilevel"/>
    <w:tmpl w:val="41CA42BC"/>
    <w:lvl w:ilvl="0" w:tplc="1B0CF03E">
      <w:start w:val="1"/>
      <w:numFmt w:val="upperLetter"/>
      <w:suff w:val="nothing"/>
      <w:lvlText w:val="%1、"/>
      <w:lvlJc w:val="left"/>
      <w:pPr>
        <w:ind w:left="2025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9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1" w15:restartNumberingAfterBreak="0">
    <w:nsid w:val="71411A56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2" w15:restartNumberingAfterBreak="0">
    <w:nsid w:val="7C5E794D"/>
    <w:multiLevelType w:val="hybridMultilevel"/>
    <w:tmpl w:val="4F98FAA8"/>
    <w:lvl w:ilvl="0" w:tplc="8A78A7E6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3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9"/>
  </w:num>
  <w:num w:numId="38">
    <w:abstractNumId w:val="21"/>
  </w:num>
  <w:num w:numId="39">
    <w:abstractNumId w:val="18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3"/>
    <w:rsid w:val="000D79DC"/>
    <w:rsid w:val="000F02A2"/>
    <w:rsid w:val="00252250"/>
    <w:rsid w:val="00397F18"/>
    <w:rsid w:val="00413724"/>
    <w:rsid w:val="004B369D"/>
    <w:rsid w:val="00513B76"/>
    <w:rsid w:val="00687B89"/>
    <w:rsid w:val="007F06EB"/>
    <w:rsid w:val="008B01D5"/>
    <w:rsid w:val="00917760"/>
    <w:rsid w:val="00982242"/>
    <w:rsid w:val="009A56F6"/>
    <w:rsid w:val="00A43E2F"/>
    <w:rsid w:val="00B33BC7"/>
    <w:rsid w:val="00BB3B3F"/>
    <w:rsid w:val="00D454A3"/>
    <w:rsid w:val="00D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3E5DC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</cp:revision>
  <cp:lastPrinted>2025-08-12T15:58:00Z</cp:lastPrinted>
  <dcterms:created xsi:type="dcterms:W3CDTF">2025-08-12T15:58:00Z</dcterms:created>
  <dcterms:modified xsi:type="dcterms:W3CDTF">2025-08-12T16:09:00Z</dcterms:modified>
</cp:coreProperties>
</file>