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17760">
      <w:pPr>
        <w:spacing w:line="320" w:lineRule="atLeast"/>
        <w:jc w:val="center"/>
        <w:rPr>
          <w:color w:val="000000" w:themeColor="text1"/>
        </w:rPr>
      </w:pPr>
      <w:proofErr w:type="gramStart"/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東縣災害應變中心處置報告內容</w:t>
      </w: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(</w:t>
      </w: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第三報</w:t>
      </w: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)</w:t>
      </w:r>
    </w:p>
    <w:p w:rsidR="00000000" w:rsidRDefault="00917760">
      <w:pPr>
        <w:pStyle w:val="Default"/>
        <w:spacing w:line="320" w:lineRule="atLeast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 </w:t>
      </w:r>
      <w:r>
        <w:rPr>
          <w:rFonts w:hint="eastAsia"/>
          <w:color w:val="000000" w:themeColor="text1"/>
        </w:rPr>
        <w:t>統計截止時間：</w:t>
      </w:r>
      <w:r>
        <w:rPr>
          <w:rFonts w:hint="eastAsia"/>
          <w:color w:val="000000" w:themeColor="text1"/>
        </w:rPr>
        <w:t>114/08/12 20</w:t>
      </w:r>
      <w:r>
        <w:rPr>
          <w:rFonts w:hint="eastAsia"/>
          <w:color w:val="000000" w:themeColor="text1"/>
        </w:rPr>
        <w:t>：</w:t>
      </w:r>
      <w:r>
        <w:rPr>
          <w:rFonts w:hint="eastAsia"/>
          <w:color w:val="000000" w:themeColor="text1"/>
        </w:rPr>
        <w:t>30</w:t>
      </w:r>
    </w:p>
    <w:p w:rsidR="00000000" w:rsidRDefault="00917760">
      <w:pPr>
        <w:spacing w:line="320" w:lineRule="atLeast"/>
        <w:jc w:val="center"/>
        <w:rPr>
          <w:rFonts w:hint="eastAsia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                                                      </w:t>
      </w:r>
      <w:r>
        <w:rPr>
          <w:rFonts w:ascii="標楷體" w:eastAsia="標楷體" w:hAnsi="標楷體" w:hint="eastAsia"/>
          <w:color w:val="000000" w:themeColor="text1"/>
        </w:rPr>
        <w:t>彙整時間：</w:t>
      </w:r>
      <w:r>
        <w:rPr>
          <w:rFonts w:ascii="標楷體" w:eastAsia="標楷體" w:hAnsi="標楷體" w:hint="eastAsia"/>
          <w:color w:val="000000" w:themeColor="text1"/>
        </w:rPr>
        <w:t>114/08/12 21</w:t>
      </w:r>
      <w:r>
        <w:rPr>
          <w:rFonts w:ascii="標楷體" w:eastAsia="標楷體" w:hAnsi="標楷體" w:hint="eastAsia"/>
          <w:color w:val="000000" w:themeColor="text1"/>
        </w:rPr>
        <w:t>：</w:t>
      </w:r>
      <w:r>
        <w:rPr>
          <w:rFonts w:ascii="標楷體" w:eastAsia="標楷體" w:hAnsi="標楷體" w:hint="eastAsia"/>
          <w:color w:val="000000" w:themeColor="text1"/>
        </w:rPr>
        <w:t>00</w:t>
      </w:r>
    </w:p>
    <w:p w:rsidR="00000000" w:rsidRDefault="00917760">
      <w:pPr>
        <w:pStyle w:val="af5"/>
        <w:numPr>
          <w:ilvl w:val="0"/>
          <w:numId w:val="2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資料來源：災情看板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重要訊息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</w:p>
    <w:p w:rsidR="00000000" w:rsidRDefault="00917760">
      <w:pPr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依據中央氣象署編號第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11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號颱風警報單第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4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報海上陸上颱風警報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(14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時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30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分發布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)</w:t>
      </w:r>
      <w:proofErr w:type="gramStart"/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本縣陸域</w:t>
      </w:r>
      <w:proofErr w:type="gramEnd"/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已劃入警戒範圍，</w:t>
      </w:r>
      <w:proofErr w:type="gramStart"/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臺</w:t>
      </w:r>
      <w:proofErr w:type="gramEnd"/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東縣楊柳颱風災害應變中心同步調升一級開設。</w:t>
      </w:r>
    </w:p>
    <w:p w:rsidR="00000000" w:rsidRDefault="00917760">
      <w:pPr>
        <w:pStyle w:val="af5"/>
        <w:numPr>
          <w:ilvl w:val="0"/>
          <w:numId w:val="4"/>
        </w:numPr>
        <w:ind w:left="426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上班、上課情形：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本縣明日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(8/13)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停止上班、停止上課。</w:t>
      </w:r>
      <w:r>
        <w:rPr>
          <w:rFonts w:eastAsia="標楷體"/>
          <w:color w:val="000000" w:themeColor="text1"/>
          <w:sz w:val="14"/>
          <w:szCs w:val="14"/>
        </w:rPr>
        <w:t xml:space="preserve"> </w:t>
      </w:r>
      <w:bookmarkStart w:id="0" w:name="_GoBack"/>
      <w:bookmarkEnd w:id="0"/>
    </w:p>
    <w:p w:rsidR="00000000" w:rsidRDefault="00917760">
      <w:pPr>
        <w:pStyle w:val="af5"/>
        <w:numPr>
          <w:ilvl w:val="0"/>
          <w:numId w:val="4"/>
        </w:numPr>
        <w:ind w:left="426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電力、民生用水、電信災情：無</w:t>
      </w:r>
    </w:p>
    <w:p w:rsidR="00000000" w:rsidRDefault="00917760">
      <w:pPr>
        <w:pStyle w:val="af5"/>
        <w:numPr>
          <w:ilvl w:val="0"/>
          <w:numId w:val="4"/>
        </w:numPr>
        <w:ind w:left="426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人名傷亡情形：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無</w:t>
      </w:r>
    </w:p>
    <w:p w:rsidR="00000000" w:rsidRDefault="00917760">
      <w:pPr>
        <w:pStyle w:val="af5"/>
        <w:numPr>
          <w:ilvl w:val="0"/>
          <w:numId w:val="4"/>
        </w:numPr>
        <w:ind w:left="426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警戒區域劃設：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劃定公告事項之區域範圍為管制區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,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非持有通行證或應緊急避難之需要者不得進入或通行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,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並自中華民國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114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年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8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12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日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14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時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30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分起生效。因應楊柳颱風災害防救需要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,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特劃定本縣「向陽山區至大武山區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含中央山脈及海岸山脈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)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、各河川溪流水域（含土石流潛勢溪流）、長濱至大武暨蘭嶼、綠島沿線之海岸、漁港」為限制或禁止人民進入或命其離去之範圍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,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嚴禁從事戲水、觀潮、垂釣及捕魚等危險活動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,</w:t>
      </w:r>
      <w:proofErr w:type="gramStart"/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特</w:t>
      </w:r>
      <w:proofErr w:type="gramEnd"/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予公告。</w:t>
      </w:r>
    </w:p>
    <w:p w:rsidR="00000000" w:rsidRDefault="00917760">
      <w:pPr>
        <w:pStyle w:val="af5"/>
        <w:numPr>
          <w:ilvl w:val="0"/>
          <w:numId w:val="4"/>
        </w:numPr>
        <w:ind w:left="709" w:hanging="510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河川水位：正常</w:t>
      </w:r>
    </w:p>
    <w:p w:rsidR="00000000" w:rsidRDefault="00917760">
      <w:pPr>
        <w:pStyle w:val="af5"/>
        <w:numPr>
          <w:ilvl w:val="0"/>
          <w:numId w:val="4"/>
        </w:numPr>
        <w:ind w:left="709" w:hanging="510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交通狀況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道路、鐵路、船舶、航空等大眾運輸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)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：</w:t>
      </w:r>
      <w:r>
        <w:rPr>
          <w:color w:val="000000" w:themeColor="text1"/>
          <w:sz w:val="14"/>
          <w:szCs w:val="14"/>
        </w:rPr>
        <w:t xml:space="preserve"> </w:t>
      </w:r>
    </w:p>
    <w:p w:rsidR="00000000" w:rsidRDefault="00917760">
      <w:pPr>
        <w:pStyle w:val="af5"/>
        <w:numPr>
          <w:ilvl w:val="0"/>
          <w:numId w:val="6"/>
        </w:numPr>
        <w:spacing w:line="320" w:lineRule="atLeast"/>
        <w:ind w:left="851" w:firstLine="109"/>
        <w:jc w:val="both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海運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部分：</w:t>
      </w:r>
    </w:p>
    <w:p w:rsidR="00000000" w:rsidRDefault="00917760">
      <w:pPr>
        <w:pStyle w:val="af5"/>
        <w:numPr>
          <w:ilvl w:val="0"/>
          <w:numId w:val="8"/>
        </w:numPr>
        <w:spacing w:line="320" w:lineRule="atLeast"/>
        <w:jc w:val="both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蘭嶼船班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:</w:t>
      </w:r>
    </w:p>
    <w:p w:rsidR="00000000" w:rsidRDefault="00917760">
      <w:pPr>
        <w:pStyle w:val="af5"/>
        <w:numPr>
          <w:ilvl w:val="0"/>
          <w:numId w:val="10"/>
        </w:numPr>
        <w:spacing w:line="320" w:lineRule="atLeast"/>
        <w:jc w:val="both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8/13 (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三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 xml:space="preserve">) 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台東</w:t>
      </w:r>
      <w:r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⇄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蘭嶼來回船班全日停駛。</w:t>
      </w:r>
    </w:p>
    <w:p w:rsidR="00000000" w:rsidRDefault="00917760">
      <w:pPr>
        <w:pStyle w:val="af5"/>
        <w:numPr>
          <w:ilvl w:val="0"/>
          <w:numId w:val="8"/>
        </w:numPr>
        <w:spacing w:line="320" w:lineRule="atLeast"/>
        <w:jc w:val="both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lastRenderedPageBreak/>
        <w:t>綠島船班：</w:t>
      </w:r>
    </w:p>
    <w:p w:rsidR="00000000" w:rsidRDefault="00917760">
      <w:pPr>
        <w:pStyle w:val="af5"/>
        <w:numPr>
          <w:ilvl w:val="0"/>
          <w:numId w:val="12"/>
        </w:numPr>
        <w:spacing w:line="320" w:lineRule="atLeast"/>
        <w:jc w:val="both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8/13(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三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)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台東</w:t>
      </w:r>
      <w:r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⇄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綠島全日航班停駛。</w:t>
      </w:r>
    </w:p>
    <w:p w:rsidR="00000000" w:rsidRDefault="00917760">
      <w:pPr>
        <w:pStyle w:val="af5"/>
        <w:numPr>
          <w:ilvl w:val="0"/>
          <w:numId w:val="6"/>
        </w:numPr>
        <w:spacing w:line="320" w:lineRule="atLeast"/>
        <w:ind w:left="851" w:firstLine="109"/>
        <w:jc w:val="both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空運部分：華信、立榮、德安航空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8/13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航班取消。</w:t>
      </w:r>
    </w:p>
    <w:p w:rsidR="00000000" w:rsidRDefault="00917760">
      <w:pPr>
        <w:pStyle w:val="af5"/>
        <w:numPr>
          <w:ilvl w:val="0"/>
          <w:numId w:val="6"/>
        </w:numPr>
        <w:spacing w:line="320" w:lineRule="atLeast"/>
        <w:ind w:left="1843" w:hanging="883"/>
        <w:jc w:val="both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陸運部分：</w:t>
      </w:r>
    </w:p>
    <w:p w:rsidR="00000000" w:rsidRDefault="00917760">
      <w:pPr>
        <w:pStyle w:val="af5"/>
        <w:numPr>
          <w:ilvl w:val="0"/>
          <w:numId w:val="14"/>
        </w:numPr>
        <w:spacing w:line="320" w:lineRule="atLeast"/>
        <w:jc w:val="both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道路：</w:t>
      </w:r>
    </w:p>
    <w:p w:rsidR="00000000" w:rsidRDefault="00917760">
      <w:pPr>
        <w:pStyle w:val="af5"/>
        <w:numPr>
          <w:ilvl w:val="0"/>
          <w:numId w:val="16"/>
        </w:numPr>
        <w:spacing w:line="320" w:lineRule="atLeast"/>
        <w:jc w:val="both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台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9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線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398K+600~400K+050(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金</w:t>
      </w:r>
      <w:proofErr w:type="gramStart"/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崙</w:t>
      </w:r>
      <w:proofErr w:type="gramEnd"/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-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多良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)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南下車道預計於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8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12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日下午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16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時實施南下車道交通管制，調撥北上內側車道供南下車輛通行。</w:t>
      </w:r>
    </w:p>
    <w:p w:rsidR="00000000" w:rsidRDefault="00917760">
      <w:pPr>
        <w:pStyle w:val="af5"/>
        <w:numPr>
          <w:ilvl w:val="0"/>
          <w:numId w:val="16"/>
        </w:numPr>
        <w:spacing w:line="320" w:lineRule="atLeast"/>
        <w:jc w:val="both"/>
        <w:rPr>
          <w:rFonts w:hint="eastAsia"/>
        </w:rPr>
      </w:pPr>
      <w:proofErr w:type="gramStart"/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臺</w:t>
      </w:r>
      <w:proofErr w:type="gramEnd"/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東縣太麻里鄉台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9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線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397K+250~398K+600 (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金</w:t>
      </w:r>
      <w:proofErr w:type="gramStart"/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崙</w:t>
      </w:r>
      <w:proofErr w:type="gramEnd"/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大橋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)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，預計於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8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12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日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22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時實施預警性封閉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  <w:r>
        <w:br/>
      </w:r>
      <w:r>
        <w:t>3</w:t>
      </w:r>
      <w:r>
        <w:t>.</w:t>
      </w:r>
      <w:proofErr w:type="gramStart"/>
      <w:r>
        <w:t>臺</w:t>
      </w:r>
      <w:proofErr w:type="gramEnd"/>
      <w:r>
        <w:t>東縣東河鄉台</w:t>
      </w:r>
      <w:r>
        <w:t>23</w:t>
      </w:r>
      <w:r>
        <w:t>線</w:t>
      </w:r>
      <w:r>
        <w:t>16K+840~25K+100</w:t>
      </w:r>
      <w:proofErr w:type="gramStart"/>
      <w:r>
        <w:t>北源路段</w:t>
      </w:r>
      <w:proofErr w:type="gramEnd"/>
      <w:r>
        <w:t>，預計於</w:t>
      </w:r>
      <w:r>
        <w:t>8</w:t>
      </w:r>
      <w:r>
        <w:t>月</w:t>
      </w:r>
      <w:r>
        <w:t>12</w:t>
      </w:r>
      <w:r>
        <w:t>日晚上</w:t>
      </w:r>
      <w:r>
        <w:t>10</w:t>
      </w:r>
      <w:r>
        <w:t>時實施預警性封閉金峰鄉東</w:t>
      </w:r>
      <w:r>
        <w:t>64 3k+100</w:t>
      </w:r>
      <w:r>
        <w:t>道路施工中</w:t>
      </w:r>
      <w:r>
        <w:t>,</w:t>
      </w:r>
      <w:r>
        <w:t>單向通行。</w:t>
      </w:r>
    </w:p>
    <w:p w:rsidR="00000000" w:rsidRDefault="00917760">
      <w:pPr>
        <w:pStyle w:val="af5"/>
        <w:numPr>
          <w:ilvl w:val="0"/>
          <w:numId w:val="16"/>
        </w:numPr>
        <w:spacing w:line="320" w:lineRule="atLeast"/>
        <w:jc w:val="both"/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 xml:space="preserve">197 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縣道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 xml:space="preserve"> 25K~36K 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道路封閉中</w:t>
      </w:r>
    </w:p>
    <w:p w:rsidR="00000000" w:rsidRDefault="00917760">
      <w:pPr>
        <w:pStyle w:val="af5"/>
        <w:numPr>
          <w:ilvl w:val="0"/>
          <w:numId w:val="16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金峰鄉東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64 3k+100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道路施工中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,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單向通行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.</w:t>
      </w:r>
    </w:p>
    <w:p w:rsidR="00000000" w:rsidRDefault="00917760">
      <w:pPr>
        <w:pStyle w:val="af5"/>
        <w:numPr>
          <w:ilvl w:val="0"/>
          <w:numId w:val="16"/>
        </w:numPr>
        <w:spacing w:line="320" w:lineRule="atLeast"/>
        <w:jc w:val="both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達仁鄉東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68 6.2k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道路施工中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,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單向通行。</w:t>
      </w:r>
    </w:p>
    <w:p w:rsidR="00000000" w:rsidRDefault="00917760">
      <w:pPr>
        <w:pStyle w:val="af5"/>
        <w:numPr>
          <w:ilvl w:val="0"/>
          <w:numId w:val="16"/>
        </w:numPr>
        <w:spacing w:line="320" w:lineRule="atLeast"/>
        <w:jc w:val="both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延平聯絡道路</w:t>
      </w:r>
      <w:proofErr w:type="gramStart"/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暢通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,</w:t>
      </w:r>
      <w:proofErr w:type="gramEnd"/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下里道路施工可通行</w:t>
      </w:r>
    </w:p>
    <w:p w:rsidR="00000000" w:rsidRDefault="00917760">
      <w:pPr>
        <w:pStyle w:val="af5"/>
        <w:numPr>
          <w:ilvl w:val="0"/>
          <w:numId w:val="14"/>
        </w:numPr>
        <w:spacing w:line="320" w:lineRule="atLeast"/>
        <w:jc w:val="both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8/13(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三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)</w:t>
      </w:r>
    </w:p>
    <w:p w:rsidR="00000000" w:rsidRDefault="00917760">
      <w:pPr>
        <w:pStyle w:val="af5"/>
        <w:spacing w:line="320" w:lineRule="atLeast"/>
        <w:ind w:left="1920"/>
        <w:jc w:val="both"/>
        <w:rPr>
          <w:rFonts w:hint="eastAsia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(1)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興東客運：所有路線班次全面停駛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天</w:t>
      </w:r>
      <w:r>
        <w:t>。</w:t>
      </w:r>
    </w:p>
    <w:p w:rsidR="00000000" w:rsidRDefault="00917760">
      <w:pPr>
        <w:pStyle w:val="af5"/>
        <w:spacing w:line="320" w:lineRule="atLeast"/>
        <w:ind w:left="1920"/>
        <w:jc w:val="both"/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(2)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東台灣客運：所有路線班次全面停駛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天</w:t>
      </w:r>
      <w:r>
        <w:t>。</w:t>
      </w:r>
    </w:p>
    <w:p w:rsidR="00000000" w:rsidRDefault="00917760">
      <w:pPr>
        <w:pStyle w:val="af5"/>
        <w:spacing w:line="320" w:lineRule="atLeast"/>
        <w:ind w:left="1920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(3)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普悠</w:t>
      </w:r>
      <w:proofErr w:type="gramStart"/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瑪</w:t>
      </w:r>
      <w:proofErr w:type="gramEnd"/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客運：全線停駛１天。</w:t>
      </w:r>
    </w:p>
    <w:p w:rsidR="00000000" w:rsidRDefault="00917760">
      <w:pPr>
        <w:pStyle w:val="af5"/>
        <w:numPr>
          <w:ilvl w:val="0"/>
          <w:numId w:val="6"/>
        </w:numPr>
        <w:spacing w:line="320" w:lineRule="atLeast"/>
        <w:ind w:left="851" w:firstLine="109"/>
        <w:jc w:val="both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鐵道運輸部分：台鐵正常行駛。</w:t>
      </w:r>
    </w:p>
    <w:p w:rsidR="00000000" w:rsidRDefault="00917760">
      <w:pPr>
        <w:pStyle w:val="af5"/>
        <w:numPr>
          <w:ilvl w:val="0"/>
          <w:numId w:val="6"/>
        </w:numPr>
        <w:spacing w:line="320" w:lineRule="atLeast"/>
        <w:ind w:left="851" w:firstLine="109"/>
        <w:jc w:val="both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lastRenderedPageBreak/>
        <w:t>活動部分：臺灣國際</w:t>
      </w:r>
      <w:proofErr w:type="gramStart"/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熱氣球嘉年華</w:t>
      </w:r>
      <w:proofErr w:type="gramEnd"/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活動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8/13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、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8/14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全日取消。</w:t>
      </w:r>
    </w:p>
    <w:p w:rsidR="00000000" w:rsidRDefault="00917760">
      <w:pPr>
        <w:pStyle w:val="af5"/>
        <w:numPr>
          <w:ilvl w:val="0"/>
          <w:numId w:val="6"/>
        </w:numPr>
        <w:spacing w:line="320" w:lineRule="atLeast"/>
        <w:ind w:left="851" w:firstLine="109"/>
        <w:jc w:val="both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滯留人數：綠島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260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人；蘭嶼：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57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人。</w:t>
      </w:r>
    </w:p>
    <w:p w:rsidR="00000000" w:rsidRDefault="00917760">
      <w:pPr>
        <w:pStyle w:val="af5"/>
        <w:numPr>
          <w:ilvl w:val="0"/>
          <w:numId w:val="4"/>
        </w:numPr>
        <w:ind w:left="709" w:hanging="510"/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疏散收容人數：</w:t>
      </w:r>
    </w:p>
    <w:p w:rsidR="00000000" w:rsidRDefault="00917760">
      <w:pPr>
        <w:pStyle w:val="af5"/>
        <w:numPr>
          <w:ilvl w:val="0"/>
          <w:numId w:val="18"/>
        </w:numP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本處已於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8/11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通知並請各公所落實掌握颱風易致災地區之保全戶實際居住人數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最遲於颱風海警發布前一天完成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)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，並將重症病患、慢性疾病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如洗腎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)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、行動不便者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如獨居老人、幼童、身心障礙、植物人、孕婦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)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等弱勢族群，列為災害優先疏散撤離對象，以及針對土石流、大規模崩塌</w:t>
      </w:r>
      <w:proofErr w:type="gramStart"/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潛勢區及</w:t>
      </w:r>
      <w:proofErr w:type="gramEnd"/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易成孤島地區，預為規劃預防性及強制性疏散事宜。</w:t>
      </w:r>
    </w:p>
    <w:p w:rsidR="00000000" w:rsidRDefault="00917760">
      <w:pPr>
        <w:pStyle w:val="af5"/>
        <w:numPr>
          <w:ilvl w:val="0"/>
          <w:numId w:val="18"/>
        </w:numP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截至今日下午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21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：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00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，總計撤離人數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9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人。</w:t>
      </w:r>
    </w:p>
    <w:p w:rsidR="00000000" w:rsidRDefault="00917760">
      <w:pPr>
        <w:pStyle w:val="af5"/>
        <w:numPr>
          <w:ilvl w:val="0"/>
          <w:numId w:val="18"/>
        </w:numPr>
        <w:rPr>
          <w:rFonts w:hint="eastAsia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統計至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114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年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8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12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日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20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時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50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分止，計有池上鄉、成功鎮、太麻里鄉</w:t>
      </w:r>
      <w:r>
        <w:t>開設</w:t>
      </w:r>
      <w:r>
        <w:t>5</w:t>
      </w:r>
      <w:r>
        <w:t>處避難收容處所收容</w:t>
      </w:r>
      <w:r>
        <w:t>8</w:t>
      </w:r>
      <w:r>
        <w:t>人</w:t>
      </w:r>
      <w:r>
        <w:t>。</w:t>
      </w:r>
      <w:r>
        <w:br/>
      </w:r>
      <w:r>
        <w:t>池上鄉</w:t>
      </w:r>
      <w:r>
        <w:t>1</w:t>
      </w:r>
      <w:r>
        <w:t>處</w:t>
      </w:r>
      <w:r>
        <w:t xml:space="preserve"> 2</w:t>
      </w:r>
      <w:r>
        <w:t>人</w:t>
      </w:r>
      <w:r>
        <w:t>(2</w:t>
      </w:r>
      <w:r>
        <w:t>女</w:t>
      </w:r>
      <w:r>
        <w:t>)</w:t>
      </w:r>
      <w:r>
        <w:t>。</w:t>
      </w:r>
      <w:r>
        <w:br/>
      </w:r>
      <w:r>
        <w:t>成功鎮</w:t>
      </w:r>
      <w:r>
        <w:t>1</w:t>
      </w:r>
      <w:r>
        <w:t>處</w:t>
      </w:r>
      <w:r>
        <w:t xml:space="preserve"> 1</w:t>
      </w:r>
      <w:r>
        <w:t>人</w:t>
      </w:r>
      <w:r>
        <w:t>(1</w:t>
      </w:r>
      <w:r>
        <w:t>男</w:t>
      </w:r>
      <w:r>
        <w:t>)</w:t>
      </w:r>
      <w:r>
        <w:t>。</w:t>
      </w:r>
      <w:r>
        <w:br/>
      </w:r>
      <w:r>
        <w:t>太麻里鄉</w:t>
      </w:r>
      <w:r>
        <w:t>3</w:t>
      </w:r>
      <w:r>
        <w:t>處</w:t>
      </w:r>
      <w:r>
        <w:t xml:space="preserve"> 5</w:t>
      </w:r>
      <w:r>
        <w:t>人</w:t>
      </w:r>
      <w:r>
        <w:t>(2</w:t>
      </w:r>
      <w:r>
        <w:t>男、</w:t>
      </w:r>
      <w:r>
        <w:t>3</w:t>
      </w:r>
      <w:r>
        <w:t>女</w:t>
      </w:r>
      <w:r>
        <w:t>)</w:t>
      </w:r>
      <w:r>
        <w:t>。</w:t>
      </w:r>
    </w:p>
    <w:p w:rsidR="00000000" w:rsidRDefault="00917760">
      <w:pPr>
        <w:pStyle w:val="af5"/>
        <w:numPr>
          <w:ilvl w:val="0"/>
          <w:numId w:val="2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重點處置作為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</w:p>
    <w:p w:rsidR="00000000" w:rsidRDefault="00917760">
      <w:p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一、案件管制：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資料來源：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EMIC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系統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000000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000000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無最新災情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</w:tr>
    </w:tbl>
    <w:p w:rsidR="00000000" w:rsidRDefault="00917760">
      <w:p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二、重要即時訊息：</w:t>
      </w:r>
    </w:p>
    <w:p w:rsidR="00000000" w:rsidRDefault="00917760">
      <w:pPr>
        <w:pStyle w:val="af5"/>
        <w:numPr>
          <w:ilvl w:val="0"/>
          <w:numId w:val="2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災害基本資料</w:t>
      </w: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 </w:t>
      </w:r>
    </w:p>
    <w:p w:rsidR="00000000" w:rsidRDefault="00917760">
      <w:pPr>
        <w:pStyle w:val="af5"/>
        <w:numPr>
          <w:ilvl w:val="0"/>
          <w:numId w:val="20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lastRenderedPageBreak/>
        <w:t>雨量</w:t>
      </w:r>
      <w:r>
        <w:rPr>
          <w:rFonts w:ascii="標楷體" w:eastAsia="標楷體" w:hAnsi="標楷體" w:hint="eastAsia"/>
          <w:color w:val="000000" w:themeColor="text1"/>
        </w:rPr>
        <w:t>(</w:t>
      </w:r>
      <w:r>
        <w:rPr>
          <w:rFonts w:ascii="標楷體" w:eastAsia="標楷體" w:hAnsi="標楷體" w:hint="eastAsia"/>
          <w:b/>
          <w:bCs/>
          <w:color w:val="000000" w:themeColor="text1"/>
        </w:rPr>
        <w:t>達豪雨標準</w:t>
      </w:r>
      <w:r>
        <w:rPr>
          <w:rFonts w:ascii="標楷體" w:eastAsia="標楷體" w:hAnsi="標楷體" w:hint="eastAsia"/>
          <w:color w:val="000000" w:themeColor="text1"/>
        </w:rPr>
        <w:t>(extremely heavy rain)</w:t>
      </w:r>
      <w:r>
        <w:rPr>
          <w:rFonts w:ascii="標楷體" w:eastAsia="標楷體" w:hAnsi="標楷體" w:hint="eastAsia"/>
          <w:color w:val="000000" w:themeColor="text1"/>
        </w:rPr>
        <w:t>：指</w:t>
      </w:r>
      <w:r>
        <w:rPr>
          <w:rFonts w:ascii="標楷體" w:eastAsia="標楷體" w:hAnsi="標楷體" w:hint="eastAsia"/>
          <w:color w:val="000000" w:themeColor="text1"/>
        </w:rPr>
        <w:t>24</w:t>
      </w:r>
      <w:r>
        <w:rPr>
          <w:rFonts w:ascii="標楷體" w:eastAsia="標楷體" w:hAnsi="標楷體" w:hint="eastAsia"/>
          <w:color w:val="000000" w:themeColor="text1"/>
        </w:rPr>
        <w:t>小時累積雨量達</w:t>
      </w:r>
      <w:r>
        <w:rPr>
          <w:rFonts w:ascii="標楷體" w:eastAsia="標楷體" w:hAnsi="標楷體" w:hint="eastAsia"/>
          <w:color w:val="000000" w:themeColor="text1"/>
        </w:rPr>
        <w:t>200</w:t>
      </w:r>
      <w:r>
        <w:rPr>
          <w:rFonts w:ascii="標楷體" w:eastAsia="標楷體" w:hAnsi="標楷體" w:hint="eastAsia"/>
          <w:color w:val="000000" w:themeColor="text1"/>
        </w:rPr>
        <w:t>毫米以上，或</w:t>
      </w:r>
      <w:r>
        <w:rPr>
          <w:rFonts w:ascii="標楷體" w:eastAsia="標楷體" w:hAnsi="標楷體" w:hint="eastAsia"/>
          <w:color w:val="000000" w:themeColor="text1"/>
        </w:rPr>
        <w:t>3</w:t>
      </w:r>
      <w:r>
        <w:rPr>
          <w:rFonts w:ascii="標楷體" w:eastAsia="標楷體" w:hAnsi="標楷體" w:hint="eastAsia"/>
          <w:color w:val="000000" w:themeColor="text1"/>
        </w:rPr>
        <w:t>小時累積雨量達</w:t>
      </w:r>
      <w:r>
        <w:rPr>
          <w:rFonts w:ascii="標楷體" w:eastAsia="標楷體" w:hAnsi="標楷體" w:hint="eastAsia"/>
          <w:color w:val="000000" w:themeColor="text1"/>
        </w:rPr>
        <w:t>100</w:t>
      </w:r>
      <w:r>
        <w:rPr>
          <w:rFonts w:ascii="標楷體" w:eastAsia="標楷體" w:hAnsi="標楷體" w:hint="eastAsia"/>
          <w:color w:val="000000" w:themeColor="text1"/>
        </w:rPr>
        <w:t>毫米以上之降雨現象。</w:t>
      </w:r>
      <w:r>
        <w:rPr>
          <w:rFonts w:ascii="標楷體" w:eastAsia="標楷體" w:hAnsi="標楷體" w:hint="eastAsia"/>
          <w:color w:val="000000" w:themeColor="text1"/>
        </w:rPr>
        <w:t>)</w:t>
      </w:r>
    </w:p>
    <w:p w:rsidR="00000000" w:rsidRDefault="00917760">
      <w:pPr>
        <w:spacing w:line="320" w:lineRule="atLeast"/>
        <w:ind w:firstLine="980"/>
        <w:jc w:val="both"/>
        <w:rPr>
          <w:color w:val="000000" w:themeColor="text1"/>
        </w:rPr>
      </w:pP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資料來源：中央氣象署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00000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降雨標準定義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豪雨、大豪雨、超大豪雨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雨量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毫米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proofErr w:type="gramEnd"/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蘭嶼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無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0.5</w:t>
            </w:r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color w:val="000000" w:themeColor="text1"/>
              </w:rPr>
              <w:t>華源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無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2.5</w:t>
            </w:r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知本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無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5.0</w:t>
            </w:r>
          </w:p>
        </w:tc>
      </w:tr>
    </w:tbl>
    <w:p w:rsidR="00000000" w:rsidRDefault="00917760">
      <w:pPr>
        <w:pStyle w:val="af5"/>
        <w:numPr>
          <w:ilvl w:val="0"/>
          <w:numId w:val="20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風速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hint="eastAsia"/>
          <w:color w:val="000000" w:themeColor="text1"/>
        </w:rPr>
        <w:t>風力：依照氣象預報，颱風暴風半徑於四小時內可能經過的地區，其平均風力達到七級風或陣風達到十級風</w:t>
      </w:r>
      <w:r>
        <w:rPr>
          <w:rFonts w:ascii="標楷體" w:eastAsia="標楷體" w:hAnsi="標楷體" w:hint="eastAsia"/>
          <w:color w:val="000000" w:themeColor="text1"/>
        </w:rPr>
        <w:t>)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資料來源：中央氣象署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000000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   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平均風力或陣風（級）</w:t>
            </w:r>
          </w:p>
        </w:tc>
      </w:tr>
      <w:tr w:rsidR="0000000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長濱漁港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平均風力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陣風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級</w:t>
            </w:r>
          </w:p>
        </w:tc>
      </w:tr>
      <w:tr w:rsidR="0000000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綠島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平均風力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陣風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級</w:t>
            </w:r>
          </w:p>
        </w:tc>
      </w:tr>
      <w:tr w:rsidR="0000000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平均風力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陣風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級</w:t>
            </w:r>
          </w:p>
        </w:tc>
      </w:tr>
    </w:tbl>
    <w:p w:rsidR="00000000" w:rsidRDefault="00917760">
      <w:pPr>
        <w:pStyle w:val="af5"/>
        <w:ind w:left="227"/>
        <w:rPr>
          <w:color w:val="000000" w:themeColor="text1"/>
        </w:rPr>
      </w:pPr>
    </w:p>
    <w:p w:rsidR="00000000" w:rsidRDefault="00917760">
      <w:pPr>
        <w:pStyle w:val="af5"/>
        <w:numPr>
          <w:ilvl w:val="0"/>
          <w:numId w:val="20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河川水位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color w:val="000000" w:themeColor="text1"/>
        </w:rPr>
        <w:t>資料來源：水利署第八河川分署、建設處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000000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最高水位</w:t>
            </w:r>
          </w:p>
        </w:tc>
      </w:tr>
      <w:tr w:rsidR="0000000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162.4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161.04</w:t>
            </w:r>
          </w:p>
        </w:tc>
      </w:tr>
      <w:tr w:rsidR="0000000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新武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呂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(4)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319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ind w:left="857" w:hanging="857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317.11</w:t>
            </w:r>
          </w:p>
        </w:tc>
      </w:tr>
    </w:tbl>
    <w:p w:rsidR="00000000" w:rsidRDefault="00917760">
      <w:pPr>
        <w:rPr>
          <w:color w:val="000000" w:themeColor="text1"/>
        </w:rPr>
      </w:pPr>
    </w:p>
    <w:p w:rsidR="00000000" w:rsidRDefault="00917760">
      <w:pPr>
        <w:pStyle w:val="af5"/>
        <w:numPr>
          <w:ilvl w:val="0"/>
          <w:numId w:val="20"/>
        </w:numPr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地區淹水情形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</w:p>
    <w:p w:rsidR="00000000" w:rsidRDefault="00917760">
      <w:pPr>
        <w:pStyle w:val="af5"/>
        <w:numPr>
          <w:ilvl w:val="0"/>
          <w:numId w:val="22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00000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淹水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處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已消退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處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</w:tbl>
    <w:p w:rsidR="00000000" w:rsidRDefault="00917760">
      <w:pPr>
        <w:pStyle w:val="af5"/>
        <w:numPr>
          <w:ilvl w:val="0"/>
          <w:numId w:val="22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00000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淹水消退年月日時分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最寬約</w:t>
            </w:r>
          </w:p>
          <w:p w:rsidR="00000000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最深約</w:t>
            </w:r>
          </w:p>
          <w:p w:rsidR="00000000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</w:tr>
    </w:tbl>
    <w:p w:rsidR="00000000" w:rsidRDefault="00917760">
      <w:pPr>
        <w:pStyle w:val="af5"/>
        <w:numPr>
          <w:ilvl w:val="0"/>
          <w:numId w:val="20"/>
        </w:numPr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水利設施損害搶修情形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資料來源：水利署第八河川分署、建設處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</w:p>
    <w:p w:rsidR="00000000" w:rsidRDefault="00917760">
      <w:pPr>
        <w:pStyle w:val="af5"/>
        <w:numPr>
          <w:ilvl w:val="0"/>
          <w:numId w:val="24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00000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</w:tbl>
    <w:p w:rsidR="00000000" w:rsidRDefault="00917760">
      <w:pPr>
        <w:pStyle w:val="af5"/>
        <w:numPr>
          <w:ilvl w:val="0"/>
          <w:numId w:val="24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00000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</w:tbl>
    <w:p w:rsidR="00000000" w:rsidRDefault="00917760">
      <w:pPr>
        <w:pStyle w:val="af5"/>
        <w:numPr>
          <w:ilvl w:val="0"/>
          <w:numId w:val="2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應變作為</w:t>
      </w:r>
    </w:p>
    <w:p w:rsidR="00000000" w:rsidRDefault="00917760">
      <w:pPr>
        <w:pStyle w:val="af5"/>
        <w:numPr>
          <w:ilvl w:val="0"/>
          <w:numId w:val="26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縣市成立災害應變中心情形</w:t>
      </w:r>
    </w:p>
    <w:p w:rsidR="00000000" w:rsidRDefault="00917760">
      <w:pPr>
        <w:spacing w:line="320" w:lineRule="atLeast"/>
        <w:jc w:val="both"/>
        <w:rPr>
          <w:color w:val="000000" w:themeColor="text1"/>
        </w:rPr>
      </w:pP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</w:p>
    <w:p w:rsidR="00000000" w:rsidRDefault="00917760">
      <w:p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說明：本縣災害應變中心於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114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14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000000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鄉鎮市名稱</w:t>
            </w:r>
          </w:p>
        </w:tc>
      </w:tr>
      <w:tr w:rsidR="00000000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大武鄉、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東市、綠島鄉、東河鄉、金峰鄉</w:t>
            </w:r>
          </w:p>
        </w:tc>
      </w:tr>
      <w:tr w:rsidR="00000000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蘭嶼鄉、池上鄉、達仁鄉、成功鎮、海端鄉、關山鎮、鹿野鄉、延平鄉、太麻里鄉、長濱鄉</w:t>
            </w:r>
          </w:p>
        </w:tc>
      </w:tr>
      <w:tr w:rsidR="00000000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三級常設</w:t>
            </w:r>
          </w:p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未開設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卑南鄉</w:t>
            </w:r>
          </w:p>
        </w:tc>
      </w:tr>
    </w:tbl>
    <w:p w:rsidR="00000000" w:rsidRDefault="00917760">
      <w:pPr>
        <w:spacing w:line="320" w:lineRule="atLeast"/>
        <w:jc w:val="both"/>
        <w:rPr>
          <w:color w:val="000000" w:themeColor="text1"/>
        </w:rPr>
      </w:pPr>
    </w:p>
    <w:p w:rsidR="00000000" w:rsidRDefault="00917760">
      <w:pPr>
        <w:spacing w:line="320" w:lineRule="atLeast"/>
        <w:jc w:val="center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警戒區域劃設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</w:p>
    <w:p w:rsidR="00000000" w:rsidRDefault="00917760">
      <w:pPr>
        <w:pStyle w:val="af5"/>
        <w:ind w:left="426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劃定本縣「向陽山區至大武山區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含中央山脈及海岸山脈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)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、各河川溪流水域（含土石流潛勢溪流）、長濱至大武暨蘭嶼、綠島沿線之海岸、漁港」區域。</w:t>
      </w:r>
    </w:p>
    <w:p w:rsidR="00000000" w:rsidRDefault="00917760">
      <w:pPr>
        <w:pStyle w:val="af5"/>
        <w:numPr>
          <w:ilvl w:val="0"/>
          <w:numId w:val="28"/>
        </w:numPr>
        <w:rPr>
          <w:rFonts w:hint="eastAsia"/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土石流警戒區發佈情形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資料來源：</w:t>
      </w:r>
      <w:r>
        <w:rPr>
          <w:rFonts w:ascii="標楷體" w:eastAsia="標楷體" w:hAnsi="標楷體" w:hint="eastAsia"/>
          <w:color w:val="000000" w:themeColor="text1"/>
        </w:rPr>
        <w:t>農業處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000000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已發布黃色警戒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無警戒區域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</w:tr>
    </w:tbl>
    <w:p w:rsidR="00000000" w:rsidRDefault="00917760">
      <w:pPr>
        <w:spacing w:line="320" w:lineRule="atLeast"/>
        <w:rPr>
          <w:color w:val="000000" w:themeColor="text1"/>
        </w:rPr>
      </w:pPr>
      <w:r>
        <w:rPr>
          <w:color w:val="000000" w:themeColor="text1"/>
        </w:rP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000000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已發布紅色警戒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  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 </w:t>
            </w:r>
          </w:p>
        </w:tc>
      </w:tr>
    </w:tbl>
    <w:p w:rsidR="00000000" w:rsidRDefault="00917760">
      <w:pPr>
        <w:spacing w:line="320" w:lineRule="atLeast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 </w:t>
      </w:r>
      <w:proofErr w:type="gramStart"/>
      <w:r>
        <w:rPr>
          <w:rFonts w:ascii="標楷體" w:eastAsia="標楷體" w:hAnsi="標楷體" w:hint="eastAsia"/>
          <w:color w:val="000000" w:themeColor="text1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color w:val="000000" w:themeColor="text1"/>
          <w:sz w:val="22"/>
          <w:szCs w:val="22"/>
        </w:rPr>
        <w:t>：警戒作為：</w:t>
      </w:r>
    </w:p>
    <w:p w:rsidR="00000000" w:rsidRDefault="00917760">
      <w:pPr>
        <w:pStyle w:val="af5"/>
        <w:numPr>
          <w:ilvl w:val="0"/>
          <w:numId w:val="30"/>
        </w:numPr>
        <w:spacing w:line="320" w:lineRule="atLeast"/>
        <w:ind w:hanging="786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2"/>
          <w:szCs w:val="22"/>
        </w:rPr>
        <w:t>黃色警戒（預測雨量大於土石流警戒基準值）：地方政府應進行疏散避難勸告。</w:t>
      </w:r>
    </w:p>
    <w:p w:rsidR="00000000" w:rsidRDefault="00917760">
      <w:pPr>
        <w:pStyle w:val="af5"/>
        <w:numPr>
          <w:ilvl w:val="0"/>
          <w:numId w:val="30"/>
        </w:numPr>
        <w:spacing w:line="320" w:lineRule="atLeast"/>
        <w:ind w:left="1276" w:hanging="142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2"/>
          <w:szCs w:val="22"/>
        </w:rPr>
        <w:t>紅色警戒（實際降雨已達土石流警戒基準值）：地方政府得依各地區當地雨量及實際狀況進行指示撤離強制疏散。</w:t>
      </w:r>
    </w:p>
    <w:p w:rsidR="00000000" w:rsidRDefault="00917760">
      <w:pPr>
        <w:pStyle w:val="af5"/>
        <w:numPr>
          <w:ilvl w:val="0"/>
          <w:numId w:val="28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登山聯繫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資料來源：</w:t>
      </w:r>
      <w:r>
        <w:rPr>
          <w:rFonts w:ascii="標楷體" w:eastAsia="標楷體" w:hAnsi="標楷體" w:hint="eastAsia"/>
          <w:color w:val="000000" w:themeColor="text1"/>
        </w:rPr>
        <w:t>警察局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00000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經勸導</w:t>
            </w:r>
          </w:p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入山民眾處置作為</w:t>
            </w:r>
          </w:p>
        </w:tc>
      </w:tr>
      <w:tr w:rsidR="00000000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勸導前</w:t>
            </w:r>
          </w:p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經聯繫</w:t>
            </w:r>
          </w:p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經聯繫</w:t>
            </w:r>
          </w:p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經聯繫</w:t>
            </w:r>
          </w:p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尚未</w:t>
            </w:r>
          </w:p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聯繫上</w:t>
            </w:r>
          </w:p>
        </w:tc>
      </w:tr>
      <w:tr w:rsidR="00000000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  <w:p w:rsidR="00000000" w:rsidRDefault="00917760">
            <w:pPr>
              <w:spacing w:line="320" w:lineRule="atLeast"/>
              <w:jc w:val="center"/>
              <w:rPr>
                <w:rFonts w:hint="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56</w:t>
            </w:r>
          </w:p>
          <w:p w:rsidR="00000000" w:rsidRDefault="00917760">
            <w:pPr>
              <w:spacing w:line="320" w:lineRule="atLeast"/>
              <w:jc w:val="center"/>
              <w:rPr>
                <w:rFonts w:hint="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32</w:t>
            </w:r>
          </w:p>
          <w:p w:rsidR="00000000" w:rsidRDefault="00917760">
            <w:pPr>
              <w:spacing w:line="320" w:lineRule="atLeast"/>
              <w:jc w:val="center"/>
              <w:rPr>
                <w:rFonts w:hint="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158</w:t>
            </w:r>
          </w:p>
          <w:p w:rsidR="00000000" w:rsidRDefault="00917760">
            <w:pPr>
              <w:spacing w:line="320" w:lineRule="atLeast"/>
              <w:jc w:val="center"/>
              <w:rPr>
                <w:rFonts w:hint="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32</w:t>
            </w:r>
          </w:p>
          <w:p w:rsidR="00000000" w:rsidRDefault="00917760">
            <w:pPr>
              <w:spacing w:line="320" w:lineRule="atLeast"/>
              <w:jc w:val="center"/>
              <w:rPr>
                <w:rFonts w:hint="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158</w:t>
            </w:r>
          </w:p>
          <w:p w:rsidR="00000000" w:rsidRDefault="00917760">
            <w:pPr>
              <w:spacing w:line="320" w:lineRule="atLeast"/>
              <w:jc w:val="center"/>
              <w:rPr>
                <w:rFonts w:hint="eastAsia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</w:tr>
    </w:tbl>
    <w:p w:rsidR="00000000" w:rsidRDefault="00917760">
      <w:p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</w:t>
      </w:r>
      <w:r>
        <w:rPr>
          <w:rFonts w:ascii="標楷體" w:eastAsia="標楷體" w:hAnsi="標楷體" w:hint="eastAsia"/>
          <w:color w:val="000000" w:themeColor="text1"/>
        </w:rPr>
        <w:t>備註：</w:t>
      </w:r>
    </w:p>
    <w:p w:rsidR="00000000" w:rsidRDefault="00917760">
      <w:pPr>
        <w:pStyle w:val="af5"/>
        <w:numPr>
          <w:ilvl w:val="0"/>
          <w:numId w:val="28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漁工安置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 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</w:t>
      </w:r>
      <w:r>
        <w:rPr>
          <w:rFonts w:ascii="標楷體" w:eastAsia="標楷體" w:hAnsi="標楷體" w:hint="eastAsia"/>
          <w:color w:val="000000" w:themeColor="text1"/>
        </w:rPr>
        <w:t>海巡署東部分署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000000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共計</w:t>
            </w:r>
          </w:p>
        </w:tc>
      </w:tr>
      <w:tr w:rsidR="00000000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2100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</w:tr>
    </w:tbl>
    <w:p w:rsidR="00000000" w:rsidRDefault="00917760">
      <w:pPr>
        <w:pStyle w:val="af5"/>
        <w:numPr>
          <w:ilvl w:val="0"/>
          <w:numId w:val="28"/>
        </w:numPr>
        <w:rPr>
          <w:rFonts w:hint="eastAsia"/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各地停止上班上課情形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資料來源：</w:t>
      </w:r>
      <w:r>
        <w:rPr>
          <w:rFonts w:ascii="標楷體" w:eastAsia="標楷體" w:hAnsi="標楷體" w:hint="eastAsia"/>
          <w:color w:val="000000" w:themeColor="text1"/>
        </w:rPr>
        <w:t>人事處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</w:p>
    <w:p w:rsidR="00000000" w:rsidRDefault="00917760">
      <w:pPr>
        <w:pStyle w:val="af5"/>
        <w:numPr>
          <w:ilvl w:val="0"/>
          <w:numId w:val="2"/>
        </w:numPr>
        <w:spacing w:line="320" w:lineRule="atLeast"/>
        <w:ind w:left="284" w:hanging="104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撤離及收容情形：</w:t>
      </w: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 </w:t>
      </w:r>
    </w:p>
    <w:p w:rsidR="00000000" w:rsidRDefault="00917760">
      <w:pPr>
        <w:pStyle w:val="af5"/>
        <w:numPr>
          <w:ilvl w:val="0"/>
          <w:numId w:val="32"/>
        </w:numPr>
        <w:ind w:left="567" w:hanging="567"/>
        <w:rPr>
          <w:b/>
          <w:color w:val="000000" w:themeColor="text1"/>
        </w:rPr>
      </w:pPr>
      <w:bookmarkStart w:id="1" w:name="OLE_LINK2"/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撤離人數</w:t>
      </w:r>
      <w:bookmarkEnd w:id="1"/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資料來源：</w:t>
      </w:r>
      <w:r>
        <w:rPr>
          <w:rFonts w:ascii="標楷體" w:eastAsia="標楷體" w:hAnsi="標楷體" w:hint="eastAsia"/>
          <w:b/>
          <w:color w:val="000000" w:themeColor="text1"/>
        </w:rPr>
        <w:t>民政處</w:t>
      </w:r>
      <w:proofErr w:type="gramStart"/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如附件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000000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預計撤</w:t>
            </w:r>
          </w:p>
          <w:p w:rsidR="00000000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實際撤</w:t>
            </w:r>
          </w:p>
          <w:p w:rsidR="00000000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</w:tbl>
    <w:p w:rsidR="00000000" w:rsidRDefault="00917760">
      <w:pPr>
        <w:pStyle w:val="af5"/>
        <w:numPr>
          <w:ilvl w:val="0"/>
          <w:numId w:val="32"/>
        </w:numPr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收容情形：</w:t>
      </w:r>
      <w:proofErr w:type="gramStart"/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資料來源：社會處</w:t>
      </w:r>
      <w:proofErr w:type="gramStart"/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（如附件）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692"/>
        <w:gridCol w:w="566"/>
        <w:gridCol w:w="567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000000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before="180" w:after="180" w:line="320" w:lineRule="atLeast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pStyle w:val="af6"/>
              <w:snapToGrid w:val="0"/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鄉鎮</w:t>
            </w:r>
          </w:p>
          <w:p w:rsidR="00000000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起迄</w:t>
            </w:r>
            <w:proofErr w:type="gramEnd"/>
          </w:p>
          <w:p w:rsidR="00000000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時間</w:t>
            </w:r>
          </w:p>
          <w:p w:rsidR="00000000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年月日時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是否以開口契約或連結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聯絡電話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方式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</w:tr>
    </w:tbl>
    <w:p w:rsidR="00000000" w:rsidRDefault="00917760">
      <w:pPr>
        <w:pStyle w:val="af5"/>
        <w:numPr>
          <w:ilvl w:val="0"/>
          <w:numId w:val="2"/>
        </w:numPr>
        <w:spacing w:line="320" w:lineRule="atLeast"/>
        <w:ind w:left="284" w:hanging="104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災情統計：</w:t>
      </w:r>
    </w:p>
    <w:p w:rsidR="00000000" w:rsidRDefault="00917760">
      <w:pPr>
        <w:pStyle w:val="af5"/>
        <w:numPr>
          <w:ilvl w:val="0"/>
          <w:numId w:val="34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人命傷亡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000000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   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備註</w:t>
            </w:r>
          </w:p>
        </w:tc>
      </w:tr>
      <w:tr w:rsidR="00000000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</w:tr>
    </w:tbl>
    <w:p w:rsidR="00000000" w:rsidRDefault="00917760">
      <w:pPr>
        <w:spacing w:line="320" w:lineRule="atLeast"/>
        <w:jc w:val="right"/>
        <w:rPr>
          <w:color w:val="000000" w:themeColor="text1"/>
        </w:rPr>
      </w:pPr>
      <w:proofErr w:type="gramStart"/>
      <w:r>
        <w:rPr>
          <w:rFonts w:ascii="標楷體" w:eastAsia="標楷體" w:hAnsi="標楷體" w:hint="eastAsia"/>
          <w:color w:val="000000" w:themeColor="text1"/>
        </w:rPr>
        <w:t>（</w:t>
      </w:r>
      <w:proofErr w:type="gramEnd"/>
      <w:r>
        <w:rPr>
          <w:rFonts w:ascii="標楷體" w:eastAsia="標楷體" w:hAnsi="標楷體" w:hint="eastAsia"/>
          <w:color w:val="000000" w:themeColor="text1"/>
        </w:rPr>
        <w:t>備註：人員清冊另製作附表</w:t>
      </w:r>
      <w:proofErr w:type="gramStart"/>
      <w:r>
        <w:rPr>
          <w:rFonts w:ascii="標楷體" w:eastAsia="標楷體" w:hAnsi="標楷體" w:hint="eastAsia"/>
          <w:color w:val="000000" w:themeColor="text1"/>
        </w:rPr>
        <w:t>）</w:t>
      </w:r>
      <w:proofErr w:type="gramEnd"/>
    </w:p>
    <w:p w:rsidR="00000000" w:rsidRDefault="00917760">
      <w:pPr>
        <w:pStyle w:val="af5"/>
        <w:numPr>
          <w:ilvl w:val="0"/>
          <w:numId w:val="34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生管線災情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442"/>
        <w:gridCol w:w="1756"/>
        <w:gridCol w:w="2016"/>
        <w:gridCol w:w="2078"/>
        <w:gridCol w:w="70"/>
      </w:tblGrid>
      <w:tr w:rsidR="00000000">
        <w:trPr>
          <w:trHeight w:val="735"/>
          <w:tblHeader/>
          <w:jc w:val="center"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單位別</w:t>
            </w:r>
          </w:p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影響數目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搶修完成</w:t>
            </w:r>
            <w:r>
              <w:rPr>
                <w:rFonts w:ascii="標楷體" w:eastAsia="標楷體" w:hAnsi="標楷體" w:hint="eastAsia"/>
                <w:color w:val="000000" w:themeColor="text1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</w:rPr>
              <w:t>（戶、處）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尚待修復</w:t>
            </w:r>
            <w:r>
              <w:rPr>
                <w:rFonts w:ascii="標楷體" w:eastAsia="標楷體" w:hAnsi="標楷體" w:hint="eastAsia"/>
                <w:color w:val="000000" w:themeColor="text1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</w:rPr>
              <w:t>（戶、處）</w:t>
            </w:r>
          </w:p>
        </w:tc>
        <w:tc>
          <w:tcPr>
            <w:tcW w:w="2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:rsidR="00000000" w:rsidRDefault="009177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</w:p>
        </w:tc>
      </w:tr>
    </w:tbl>
    <w:p w:rsidR="00000000" w:rsidRDefault="00917760">
      <w:pPr>
        <w:pStyle w:val="af5"/>
        <w:numPr>
          <w:ilvl w:val="0"/>
          <w:numId w:val="34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交通災情狀況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資料來源：台東工務段、建設處、原住民族行政處、交觀</w:t>
      </w:r>
    </w:p>
    <w:p w:rsidR="00000000" w:rsidRDefault="00917760">
      <w:pPr>
        <w:pStyle w:val="af5"/>
        <w:ind w:left="227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處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)</w:t>
      </w:r>
    </w:p>
    <w:p w:rsidR="00000000" w:rsidRDefault="00917760">
      <w:pPr>
        <w:pStyle w:val="af5"/>
        <w:numPr>
          <w:ilvl w:val="0"/>
          <w:numId w:val="2"/>
        </w:numPr>
        <w:spacing w:line="320" w:lineRule="atLeast"/>
        <w:ind w:left="284" w:hanging="104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出動救災人員及裝備情形</w:t>
      </w:r>
    </w:p>
    <w:p w:rsidR="00000000" w:rsidRDefault="00917760">
      <w:pPr>
        <w:spacing w:line="32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資料來源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: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國軍、消防局、警察局、海巡署東部分署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772"/>
        <w:gridCol w:w="772"/>
        <w:gridCol w:w="772"/>
        <w:gridCol w:w="416"/>
        <w:gridCol w:w="419"/>
        <w:gridCol w:w="416"/>
        <w:gridCol w:w="416"/>
        <w:gridCol w:w="416"/>
        <w:gridCol w:w="416"/>
        <w:gridCol w:w="416"/>
        <w:gridCol w:w="419"/>
        <w:gridCol w:w="416"/>
        <w:gridCol w:w="416"/>
        <w:gridCol w:w="416"/>
        <w:gridCol w:w="428"/>
        <w:gridCol w:w="416"/>
        <w:gridCol w:w="420"/>
        <w:gridCol w:w="751"/>
      </w:tblGrid>
      <w:tr w:rsidR="00000000"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鄉鎮市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受困人數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人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搶救災民人數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人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支援送水勤務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642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出動救災人員裝備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艘次、架次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proofErr w:type="gramEnd"/>
          </w:p>
        </w:tc>
      </w:tr>
      <w:tr w:rsidR="00000000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消防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義消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民間救難團體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警察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義警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民防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國軍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</w:p>
        </w:tc>
      </w:tr>
      <w:tr w:rsidR="00000000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</w:tr>
      <w:tr w:rsidR="00000000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台東市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</w:tr>
      <w:tr w:rsidR="00000000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成功鎮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(4)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人、海巡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(1)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</w:tr>
      <w:tr w:rsidR="00000000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關山鎮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</w:tr>
      <w:tr w:rsidR="00000000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卑南鄉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</w:tr>
      <w:tr w:rsidR="00000000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鹿野鄉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</w:tr>
      <w:tr w:rsidR="00000000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池上鄉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</w:tr>
      <w:tr w:rsidR="00000000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東河鄉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(2)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人、海巡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(1)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</w:tr>
      <w:tr w:rsidR="00000000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長濱鄉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(2)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人、海巡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(1)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</w:tr>
      <w:tr w:rsidR="00000000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太麻里鄉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(4)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人、海巡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(2)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</w:tr>
      <w:tr w:rsidR="00000000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大武鄉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(2)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人、海巡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(1)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</w:tr>
      <w:tr w:rsidR="00000000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綠島鄉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(2)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人、海巡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(0)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</w:tr>
      <w:tr w:rsidR="00000000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海端鄉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</w:tr>
      <w:tr w:rsidR="00000000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延平鄉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</w:tr>
      <w:tr w:rsidR="00000000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金峰鄉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</w:tr>
      <w:tr w:rsidR="00000000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達仁鄉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</w:tr>
      <w:tr w:rsidR="00000000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蘭嶼鄉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(5)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人、海巡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(1)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</w:tr>
    </w:tbl>
    <w:p w:rsidR="00000000" w:rsidRDefault="00917760">
      <w:pPr>
        <w:spacing w:line="320" w:lineRule="atLeast"/>
        <w:rPr>
          <w:color w:val="000000" w:themeColor="text1"/>
        </w:rPr>
      </w:pPr>
    </w:p>
    <w:p w:rsidR="00917760" w:rsidRDefault="00917760">
      <w:pPr>
        <w:pStyle w:val="af5"/>
        <w:numPr>
          <w:ilvl w:val="0"/>
          <w:numId w:val="2"/>
        </w:numPr>
        <w:spacing w:line="320" w:lineRule="atLeast"/>
        <w:ind w:left="284" w:hanging="104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支援縣市害應變處理情形</w:t>
      </w: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:</w:t>
      </w: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無</w:t>
      </w:r>
    </w:p>
    <w:sectPr w:rsidR="00917760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F25"/>
    <w:multiLevelType w:val="hybridMultilevel"/>
    <w:tmpl w:val="3E8027AA"/>
    <w:lvl w:ilvl="0" w:tplc="7BE6A1A4">
      <w:start w:val="1"/>
      <w:numFmt w:val="decimal"/>
      <w:lvlText w:val="(%1)"/>
      <w:lvlJc w:val="left"/>
      <w:pPr>
        <w:ind w:left="2025" w:hanging="480"/>
      </w:p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1" w15:restartNumberingAfterBreak="0">
    <w:nsid w:val="113F47B5"/>
    <w:multiLevelType w:val="hybridMultilevel"/>
    <w:tmpl w:val="0DB08BA0"/>
    <w:lvl w:ilvl="0" w:tplc="0F3241F6">
      <w:start w:val="1"/>
      <w:numFmt w:val="ideographLegalTraditional"/>
      <w:suff w:val="nothing"/>
      <w:lvlText w:val="%1、"/>
      <w:lvlJc w:val="left"/>
      <w:pPr>
        <w:ind w:left="660" w:hanging="480"/>
      </w:pPr>
      <w:rPr>
        <w:rFonts w:ascii="標楷體" w:eastAsia="標楷體" w:hAnsi="標楷體" w:hint="eastAsia"/>
        <w:b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ind w:left="1140" w:hanging="480"/>
      </w:pPr>
    </w:lvl>
    <w:lvl w:ilvl="2" w:tplc="0409001B">
      <w:start w:val="1"/>
      <w:numFmt w:val="lowerRoman"/>
      <w:lvlText w:val="%3."/>
      <w:lvlJc w:val="right"/>
      <w:pPr>
        <w:ind w:left="1620" w:hanging="480"/>
      </w:pPr>
    </w:lvl>
    <w:lvl w:ilvl="3" w:tplc="0409000F">
      <w:start w:val="1"/>
      <w:numFmt w:val="decimal"/>
      <w:lvlText w:val="%4."/>
      <w:lvlJc w:val="left"/>
      <w:pPr>
        <w:ind w:left="2100" w:hanging="480"/>
      </w:pPr>
    </w:lvl>
    <w:lvl w:ilvl="4" w:tplc="04090019">
      <w:start w:val="1"/>
      <w:numFmt w:val="ideographTraditional"/>
      <w:lvlText w:val="%5、"/>
      <w:lvlJc w:val="left"/>
      <w:pPr>
        <w:ind w:left="2580" w:hanging="480"/>
      </w:pPr>
    </w:lvl>
    <w:lvl w:ilvl="5" w:tplc="0409001B">
      <w:start w:val="1"/>
      <w:numFmt w:val="lowerRoman"/>
      <w:lvlText w:val="%6."/>
      <w:lvlJc w:val="right"/>
      <w:pPr>
        <w:ind w:left="3060" w:hanging="480"/>
      </w:pPr>
    </w:lvl>
    <w:lvl w:ilvl="6" w:tplc="0409000F">
      <w:start w:val="1"/>
      <w:numFmt w:val="decimal"/>
      <w:lvlText w:val="%7."/>
      <w:lvlJc w:val="left"/>
      <w:pPr>
        <w:ind w:left="3540" w:hanging="480"/>
      </w:pPr>
    </w:lvl>
    <w:lvl w:ilvl="7" w:tplc="04090019">
      <w:start w:val="1"/>
      <w:numFmt w:val="ideographTraditional"/>
      <w:lvlText w:val="%8、"/>
      <w:lvlJc w:val="left"/>
      <w:pPr>
        <w:ind w:left="4020" w:hanging="480"/>
      </w:pPr>
    </w:lvl>
    <w:lvl w:ilvl="8" w:tplc="0409001B">
      <w:start w:val="1"/>
      <w:numFmt w:val="lowerRoman"/>
      <w:lvlText w:val="%9."/>
      <w:lvlJc w:val="right"/>
      <w:pPr>
        <w:ind w:left="4500" w:hanging="480"/>
      </w:pPr>
    </w:lvl>
  </w:abstractNum>
  <w:abstractNum w:abstractNumId="2" w15:restartNumberingAfterBreak="0">
    <w:nsid w:val="144F5F27"/>
    <w:multiLevelType w:val="hybridMultilevel"/>
    <w:tmpl w:val="E66439E6"/>
    <w:lvl w:ilvl="0" w:tplc="AC0CD984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AA4308A"/>
    <w:multiLevelType w:val="hybridMultilevel"/>
    <w:tmpl w:val="314A3BA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1F1D4B41"/>
    <w:multiLevelType w:val="hybridMultilevel"/>
    <w:tmpl w:val="B4025602"/>
    <w:lvl w:ilvl="0" w:tplc="C5F4A35A">
      <w:start w:val="1"/>
      <w:numFmt w:val="taiwaneseCountingThousand"/>
      <w:suff w:val="nothing"/>
      <w:lvlText w:val="%1、"/>
      <w:lvlJc w:val="left"/>
      <w:pPr>
        <w:ind w:left="227" w:hanging="227"/>
      </w:pPr>
      <w:rPr>
        <w:rFonts w:ascii="標楷體" w:eastAsia="標楷體" w:hAnsi="標楷體" w:hint="eastAsia"/>
        <w:b/>
        <w:sz w:val="28"/>
        <w:szCs w:val="28"/>
      </w:rPr>
    </w:lvl>
    <w:lvl w:ilvl="1" w:tplc="15326BBE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3B4D4C"/>
    <w:multiLevelType w:val="hybridMultilevel"/>
    <w:tmpl w:val="E66439E6"/>
    <w:lvl w:ilvl="0" w:tplc="AC0CD984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3E3075F0"/>
    <w:multiLevelType w:val="hybridMultilevel"/>
    <w:tmpl w:val="4F68A412"/>
    <w:lvl w:ilvl="0" w:tplc="CECC2688">
      <w:start w:val="1"/>
      <w:numFmt w:val="taiwaneseCountingThousand"/>
      <w:suff w:val="nothing"/>
      <w:lvlText w:val="%1、"/>
      <w:lvlJc w:val="left"/>
      <w:pPr>
        <w:ind w:left="227" w:hanging="227"/>
      </w:pPr>
      <w:rPr>
        <w:rFonts w:ascii="標楷體" w:eastAsia="標楷體" w:hAnsi="標楷體" w:hint="eastAsia"/>
        <w:b/>
        <w:sz w:val="28"/>
        <w:szCs w:val="28"/>
      </w:rPr>
    </w:lvl>
    <w:lvl w:ilvl="1" w:tplc="15326BBE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3F138E"/>
    <w:multiLevelType w:val="hybridMultilevel"/>
    <w:tmpl w:val="D58E530A"/>
    <w:lvl w:ilvl="0" w:tplc="485A08C2">
      <w:start w:val="3"/>
      <w:numFmt w:val="taiwaneseCountingThousand"/>
      <w:suff w:val="nothing"/>
      <w:lvlText w:val="%1、"/>
      <w:lvlJc w:val="left"/>
      <w:pPr>
        <w:ind w:left="227" w:hanging="227"/>
      </w:pPr>
      <w:rPr>
        <w:rFonts w:ascii="標楷體" w:eastAsia="標楷體" w:hAnsi="標楷體" w:hint="eastAsia"/>
        <w:b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CB50407"/>
    <w:multiLevelType w:val="hybridMultilevel"/>
    <w:tmpl w:val="B0AAD526"/>
    <w:lvl w:ilvl="0" w:tplc="FE209D34">
      <w:start w:val="1"/>
      <w:numFmt w:val="taiwaneseCountingThousand"/>
      <w:suff w:val="nothing"/>
      <w:lvlText w:val="%1、"/>
      <w:lvlJc w:val="left"/>
      <w:pPr>
        <w:ind w:left="227" w:hanging="227"/>
      </w:pPr>
    </w:lvl>
    <w:lvl w:ilvl="1" w:tplc="15326BBE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2204B99"/>
    <w:multiLevelType w:val="hybridMultilevel"/>
    <w:tmpl w:val="CD663D9C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0409001B">
      <w:start w:val="1"/>
      <w:numFmt w:val="lowerRoman"/>
      <w:lvlText w:val="%6."/>
      <w:lvlJc w:val="right"/>
      <w:pPr>
        <w:ind w:left="3589" w:hanging="480"/>
      </w:pPr>
    </w:lvl>
    <w:lvl w:ilvl="6" w:tplc="0409000F">
      <w:start w:val="1"/>
      <w:numFmt w:val="decimal"/>
      <w:lvlText w:val="%7."/>
      <w:lvlJc w:val="left"/>
      <w:pPr>
        <w:ind w:left="4069" w:hanging="480"/>
      </w:pPr>
    </w:lvl>
    <w:lvl w:ilvl="7" w:tplc="04090019">
      <w:start w:val="1"/>
      <w:numFmt w:val="ideographTraditional"/>
      <w:lvlText w:val="%8、"/>
      <w:lvlJc w:val="left"/>
      <w:pPr>
        <w:ind w:left="4549" w:hanging="480"/>
      </w:pPr>
    </w:lvl>
    <w:lvl w:ilvl="8" w:tplc="0409001B">
      <w:start w:val="1"/>
      <w:numFmt w:val="lowerRoman"/>
      <w:lvlText w:val="%9."/>
      <w:lvlJc w:val="right"/>
      <w:pPr>
        <w:ind w:left="5029" w:hanging="480"/>
      </w:pPr>
    </w:lvl>
  </w:abstractNum>
  <w:abstractNum w:abstractNumId="10" w15:restartNumberingAfterBreak="0">
    <w:nsid w:val="54A337C8"/>
    <w:multiLevelType w:val="hybridMultilevel"/>
    <w:tmpl w:val="F9024F44"/>
    <w:lvl w:ilvl="0" w:tplc="469EA29E">
      <w:start w:val="1"/>
      <w:numFmt w:val="decimal"/>
      <w:suff w:val="nothing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584E63C8"/>
    <w:multiLevelType w:val="hybridMultilevel"/>
    <w:tmpl w:val="4F68A412"/>
    <w:lvl w:ilvl="0" w:tplc="CECC2688">
      <w:start w:val="1"/>
      <w:numFmt w:val="taiwaneseCountingThousand"/>
      <w:suff w:val="nothing"/>
      <w:lvlText w:val="%1、"/>
      <w:lvlJc w:val="left"/>
      <w:pPr>
        <w:ind w:left="227" w:hanging="227"/>
      </w:pPr>
      <w:rPr>
        <w:rFonts w:ascii="標楷體" w:eastAsia="標楷體" w:hAnsi="標楷體" w:hint="eastAsia"/>
        <w:b/>
        <w:sz w:val="28"/>
        <w:szCs w:val="28"/>
      </w:rPr>
    </w:lvl>
    <w:lvl w:ilvl="1" w:tplc="15326BBE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8FD1E49"/>
    <w:multiLevelType w:val="hybridMultilevel"/>
    <w:tmpl w:val="DD443610"/>
    <w:lvl w:ilvl="0" w:tplc="33ACB394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61CB6DAD"/>
    <w:multiLevelType w:val="hybridMultilevel"/>
    <w:tmpl w:val="314A3BA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14" w15:restartNumberingAfterBreak="0">
    <w:nsid w:val="6EDA002B"/>
    <w:multiLevelType w:val="hybridMultilevel"/>
    <w:tmpl w:val="3E8027AA"/>
    <w:lvl w:ilvl="0" w:tplc="7BE6A1A4">
      <w:start w:val="1"/>
      <w:numFmt w:val="decimal"/>
      <w:lvlText w:val="(%1)"/>
      <w:lvlJc w:val="left"/>
      <w:pPr>
        <w:ind w:left="2025" w:hanging="480"/>
      </w:p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15" w15:restartNumberingAfterBreak="0">
    <w:nsid w:val="7C5E794D"/>
    <w:multiLevelType w:val="hybridMultilevel"/>
    <w:tmpl w:val="3E8027AA"/>
    <w:lvl w:ilvl="0" w:tplc="7BE6A1A4">
      <w:start w:val="1"/>
      <w:numFmt w:val="decimal"/>
      <w:lvlText w:val="(%1)"/>
      <w:lvlJc w:val="left"/>
      <w:pPr>
        <w:ind w:left="2025" w:hanging="480"/>
      </w:p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16" w15:restartNumberingAfterBreak="0">
    <w:nsid w:val="7FD56A6A"/>
    <w:multiLevelType w:val="hybridMultilevel"/>
    <w:tmpl w:val="63E02706"/>
    <w:lvl w:ilvl="0" w:tplc="73C2503E">
      <w:start w:val="1"/>
      <w:numFmt w:val="taiwaneseCountingThousand"/>
      <w:suff w:val="nothing"/>
      <w:lvlText w:val="%1、"/>
      <w:lvlJc w:val="left"/>
      <w:pPr>
        <w:ind w:left="227" w:hanging="227"/>
      </w:pPr>
      <w:rPr>
        <w:rFonts w:ascii="標楷體" w:eastAsia="標楷體" w:hAnsi="標楷體" w:hint="eastAsia"/>
        <w:b w:val="0"/>
        <w:sz w:val="28"/>
        <w:szCs w:val="28"/>
      </w:rPr>
    </w:lvl>
    <w:lvl w:ilvl="1" w:tplc="15326BBE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480"/>
  <w:noPunctuationKerning/>
  <w:characterSpacingControl w:val="compressPunctuation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454A3"/>
    <w:rsid w:val="000D79DC"/>
    <w:rsid w:val="00917760"/>
    <w:rsid w:val="00D4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6F6F8-07B6-4121-877C-577E45FE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locked/>
    <w:rPr>
      <w:rFonts w:ascii="Courier New" w:eastAsia="新細明體" w:hAnsi="Courier New" w:cs="Courier New" w:hint="default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paragraph" w:customStyle="1" w:styleId="kint-rich">
    <w:name w:val="kint-rich"/>
    <w:basedOn w:val="a"/>
    <w:pPr>
      <w:spacing w:before="120" w:after="120"/>
    </w:pPr>
    <w:rPr>
      <w:rFonts w:ascii="新細明體" w:hAnsi="新細明體" w:cs="新細明體"/>
      <w:sz w:val="20"/>
      <w:szCs w:val="20"/>
    </w:rPr>
  </w:style>
  <w:style w:type="paragraph" w:customStyle="1" w:styleId="kint-richfooternav">
    <w:name w:val="kint-rich&gt;footer&gt;nav"/>
    <w:basedOn w:val="a"/>
    <w:pPr>
      <w:spacing w:before="100" w:beforeAutospacing="1" w:after="100" w:afterAutospacing="1"/>
      <w:ind w:right="45"/>
    </w:pPr>
    <w:rPr>
      <w:rFonts w:ascii="新細明體" w:hAnsi="新細明體" w:cs="新細明體"/>
    </w:rPr>
  </w:style>
  <w:style w:type="paragraph" w:customStyle="1" w:styleId="kint-richdldt">
    <w:name w:val="kint-rich&gt;dl&gt;dt"/>
    <w:basedOn w:val="a"/>
    <w:pPr>
      <w:shd w:val="clear" w:color="auto" w:fill="F8F8F8"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">
    <w:name w:val="kint-popup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access-path-trigger">
    <w:name w:val="kint-access-pat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earch-trigger">
    <w:name w:val="kint-searc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">
    <w:name w:val="kint-microtime-lap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ource">
    <w:name w:val="kint-source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arent">
    <w:name w:val="kint-paren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highlight">
    <w:name w:val="kint-highligh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1">
    <w:name w:val="kint-popup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access-path-trigger1">
    <w:name w:val="kint-access-pat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search-trigger1">
    <w:name w:val="kint-searc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  <w:sz w:val="30"/>
      <w:szCs w:val="30"/>
    </w:rPr>
  </w:style>
  <w:style w:type="paragraph" w:customStyle="1" w:styleId="kint-popup-trigger2">
    <w:name w:val="kint-popup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access-path-trigger2">
    <w:name w:val="kint-access-pat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search-trigger2">
    <w:name w:val="kint-searc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  <w:sz w:val="30"/>
      <w:szCs w:val="30"/>
    </w:rPr>
  </w:style>
  <w:style w:type="paragraph" w:customStyle="1" w:styleId="kint-parent1">
    <w:name w:val="kint-parent1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1">
    <w:name w:val="kint-microtime-lap1"/>
    <w:basedOn w:val="a"/>
    <w:pPr>
      <w:spacing w:before="100" w:beforeAutospacing="1" w:after="100" w:afterAutospacing="1"/>
    </w:pPr>
    <w:rPr>
      <w:rFonts w:ascii="新細明體" w:hAnsi="新細明體" w:cs="新細明體"/>
      <w:b/>
      <w:bCs/>
      <w:color w:val="F8F8F8"/>
    </w:rPr>
  </w:style>
  <w:style w:type="paragraph" w:customStyle="1" w:styleId="kint-source1">
    <w:name w:val="kint-source1"/>
    <w:basedOn w:val="a"/>
    <w:pPr>
      <w:spacing w:before="100" w:beforeAutospacing="1" w:after="100" w:afterAutospacing="1"/>
      <w:ind w:left="-15"/>
    </w:pPr>
    <w:rPr>
      <w:rFonts w:ascii="新細明體" w:hAnsi="新細明體" w:cs="新細明體"/>
    </w:rPr>
  </w:style>
  <w:style w:type="paragraph" w:customStyle="1" w:styleId="kint-highlight1">
    <w:name w:val="kint-highlight1"/>
    <w:basedOn w:val="a"/>
    <w:pPr>
      <w:shd w:val="clear" w:color="auto" w:fill="CCFFCC"/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cp:lastPrinted>2025-08-12T13:58:00Z</cp:lastPrinted>
  <dcterms:created xsi:type="dcterms:W3CDTF">2025-08-12T13:59:00Z</dcterms:created>
  <dcterms:modified xsi:type="dcterms:W3CDTF">2025-08-12T13:59:00Z</dcterms:modified>
</cp:coreProperties>
</file>