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84A4" w14:textId="77777777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臺東縣災害應變中心處置報告內容(第二十四報-12時)</w:t>
      </w:r>
    </w:p>
    <w:p w14:paraId="38507B0B" w14:textId="7777777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統計截止時間：112/10/06 11：30</w:t>
      </w:r>
    </w:p>
    <w:p w14:paraId="028D2B64" w14:textId="7777777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彙整時間：112/10/06 11：45</w:t>
      </w:r>
    </w:p>
    <w:p w14:paraId="7CC65F5C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14549ED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>
        <w:rPr>
          <w:rFonts w:ascii="標楷體" w:eastAsia="標楷體" w:hAnsi="標楷體" w:hint="eastAsia"/>
          <w:sz w:val="28"/>
          <w:szCs w:val="28"/>
        </w:rPr>
        <w:t>今(10/6)日本縣蘭嶼鄉全日停止上班、停止上課，其餘地區正常上班上課</w:t>
      </w:r>
    </w:p>
    <w:p w14:paraId="3A320375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2BBB6ABC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電力:</w:t>
      </w:r>
    </w:p>
    <w:p w14:paraId="4FFA6FDC" w14:textId="77777777" w:rsidR="00000000" w:rsidRDefault="00000000">
      <w:pPr>
        <w:pStyle w:val="af5"/>
        <w:numPr>
          <w:ilvl w:val="1"/>
          <w:numId w:val="2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響戶數：33382戶，已復電：29291戶，目前仍停電：4091戶，各鄉鎮停電情況：蘭嶼鄉1322戶、海端鄉733戶、大武鄉626戶、達仁鄉493戶、卑南鄉263戶、太麻里鄉180戶、東河鄉176戶、鹿野鄉88戶、關山鎮57戶、成功鎮47戶、金峰鄉41戶、台東市38戶、綠島鄉27戶。</w:t>
      </w:r>
    </w:p>
    <w:p w14:paraId="55A2224A" w14:textId="77777777" w:rsidR="00000000" w:rsidRDefault="00000000">
      <w:pPr>
        <w:pStyle w:val="af5"/>
        <w:numPr>
          <w:ilvl w:val="1"/>
          <w:numId w:val="2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（6）日動員員工221人、承攬商48人、支援人力124人，本島地區以明天晚上24時全部復電為目標。蘭嶼地區因災情嚴重，除日前電廠人力13人及預先派遣外線班進駐支援6人，今(6)日再投入20人及機具設備前住進行搶修工作，將盡速搶修復電。</w:t>
      </w:r>
    </w:p>
    <w:p w14:paraId="480A42C7" w14:textId="77777777" w:rsidR="00000000" w:rsidRDefault="00000000">
      <w:pPr>
        <w:pStyle w:val="af5"/>
        <w:numPr>
          <w:ilvl w:val="0"/>
          <w:numId w:val="2"/>
        </w:numPr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均已恢復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供水</w:t>
      </w:r>
    </w:p>
    <w:p w14:paraId="4CB0BA96" w14:textId="77777777" w:rsidR="00000000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</w:t>
      </w:r>
    </w:p>
    <w:p w14:paraId="32F2F4B8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台東市豐谷南路257號電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燃燒，已派員前往處理21:40。22:30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查修員回覆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已無燃燒，非電信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應為個人立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，中華電信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東營運處回覆已通知工務維修單位盡速處理中</w:t>
      </w:r>
    </w:p>
    <w:p w14:paraId="2DA303B9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東河台11線134.2公里處電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傾斜已通報查修人員。11:20回報無立即危險，明日再處理。</w:t>
      </w:r>
    </w:p>
    <w:p w14:paraId="61D2919E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達仁鄉南田村電纜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垂落有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影響交通，已派員處理中 下午1:10已回報已處理ok。</w:t>
      </w:r>
    </w:p>
    <w:p w14:paraId="66294A30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蘭嶼風災最大有達17級風 傳輸及微波天線大都倒下且現在蘭嶼停電 所以基地台手機電話不通，中華電信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東營運處回覆已通知工務維修單位待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天氣晴船班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通行盡速前往處理</w:t>
      </w:r>
    </w:p>
    <w:p w14:paraId="591013F0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【台11線】(北往南)，過【成功鎮八嗡嗡社區】約150公尺處，有一前往『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豐田稻家民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宿』指標牌(接近122K處)，右轉進去後馬上右轉約100公尺處有一基地台，目前【中華電信】之電線掉落一條影響車輛通行，建請協助。(不詳可洽/1999案件/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需電覆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0963060220)已派員赴現場處理中，中華電信回覆電線已固定排除ok</w:t>
      </w:r>
    </w:p>
    <w:p w14:paraId="58D9CBBB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台東市中華路四段513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巷之巷底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(靠近土地公廟及海巡署)，有一電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歪斜快倒塌。(1999案件/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需電覆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/0965599308)-已通報處理。</w:t>
      </w:r>
    </w:p>
    <w:p w14:paraId="3669B434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【台東市建農里活動中心】正對面之台11線分隔島上，目前有一條很長的電線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垂落，若風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大會吹到快車道，影響行車安全，建請查處。(1999案件)-已通報處理中。</w:t>
      </w:r>
    </w:p>
    <w:p w14:paraId="1032FE9E" w14:textId="77777777" w:rsidR="00000000" w:rsidRDefault="00000000">
      <w:pPr>
        <w:pStyle w:val="af5"/>
        <w:numPr>
          <w:ilvl w:val="1"/>
          <w:numId w:val="2"/>
        </w:num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加羅板聯外道路電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傾倒，已處理，電纜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重接暫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掛電力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上。。</w:t>
      </w:r>
    </w:p>
    <w:p w14:paraId="0F5EB111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人命傷亡情形：</w:t>
      </w:r>
    </w:p>
    <w:p w14:paraId="3EBB9F75" w14:textId="77777777" w:rsidR="00000000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傷情共計30人受傷，0人死亡：</w:t>
      </w:r>
    </w:p>
    <w:p w14:paraId="3EE133E1" w14:textId="77777777" w:rsidR="00000000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大武鄉衛生所1人(輕傷，已離院)</w:t>
      </w:r>
    </w:p>
    <w:p w14:paraId="6090198D" w14:textId="77777777" w:rsidR="00000000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蘭嶼鄉衛生所18人(18人輕傷，皆已離開衛生所)</w:t>
      </w:r>
    </w:p>
    <w:p w14:paraId="133115C2" w14:textId="77777777" w:rsidR="00000000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東基4人(3級檢傷：2人離院、1人骨折住院中、1骨折手術中)</w:t>
      </w:r>
    </w:p>
    <w:p w14:paraId="5D1C7DA7" w14:textId="77777777" w:rsidR="00000000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 東馬7人(3級檢傷：5人已離院，2級檢傷：2人，1人手術中，1人由蘭嶼衛生所空轉，骨折住院中)</w:t>
      </w:r>
    </w:p>
    <w:p w14:paraId="290D6921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警戒區域劃設：已解除。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286DB54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</w:t>
      </w:r>
    </w:p>
    <w:p w14:paraId="0A98CBCF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2CF70B6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bookmarkStart w:id="0" w:name="_Hlk147484814"/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)鐵路： 10月6日行駛概況如下：</w:t>
      </w:r>
    </w:p>
    <w:p w14:paraId="0B23BC8B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西部幹線：(基隆=潮州=枋寮間)正常行駛。</w:t>
      </w:r>
    </w:p>
    <w:p w14:paraId="7504E132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東部幹線：(樹林=花蓮=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5740224D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線：(枋寮=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5270D231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(二)客運： 10月6日行駛概況如下：</w:t>
      </w:r>
    </w:p>
    <w:p w14:paraId="4D3C830F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普悠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：正常行駛。</w:t>
      </w:r>
    </w:p>
    <w:p w14:paraId="257CA773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東台灣：正常行駛。</w:t>
      </w:r>
    </w:p>
    <w:p w14:paraId="3A30A7D1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興東客運：正常行駛。</w:t>
      </w:r>
    </w:p>
    <w:p w14:paraId="77A2C9E0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(三)船班： 10月6日船班概況如下：</w:t>
      </w:r>
    </w:p>
    <w:p w14:paraId="3B27851F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台東往返綠島的船班，10月6日中午過後將加開往返各2個航次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1330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台東到綠島、1430綠島回台東，天王星1330台東到綠島、1430綠島回台東。</w:t>
      </w:r>
    </w:p>
    <w:p w14:paraId="762ABBB8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台東往返蘭嶼及後壁湖往返蘭嶼的船班，自10月2日中午起至10月6日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全部船班取消。</w:t>
      </w:r>
    </w:p>
    <w:p w14:paraId="60706A4B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(四)航空： 10月6日航班概況如下：</w:t>
      </w:r>
    </w:p>
    <w:p w14:paraId="53AAA12D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台東往返台北：立榮航空、華信航空航班正常。</w:t>
      </w:r>
    </w:p>
    <w:p w14:paraId="53F624B2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台東往返綠島：德安航空航班正常。</w:t>
      </w:r>
    </w:p>
    <w:p w14:paraId="24EAA957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台東往返蘭嶼：因機場設備損壞待修，10月6日13:50前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596F3EED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（五）道路：</w:t>
      </w:r>
    </w:p>
    <w:p w14:paraId="1BCDFF83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預警性封閉路段:2處</w:t>
      </w:r>
    </w:p>
    <w:p w14:paraId="48D01044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1.台東縣海端鄉台20線149K~171K+500(向陽~利稻) ，已於10月6日上午7道路封閉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進行清災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10CEC13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2.台東縣東河鄉台23線20k(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)邊坡坍方，已於10月6日上午6道路封閉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進行請災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，預計6日下午6時搶通。</w:t>
      </w:r>
    </w:p>
    <w:bookmarkEnd w:id="0"/>
    <w:p w14:paraId="17C979E9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27568D6D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撤離人數共475人：</w:t>
      </w:r>
    </w:p>
    <w:p w14:paraId="3E7C67C3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卑南鄉撤離2人(1人已返家，餘1人收容中)</w:t>
      </w:r>
    </w:p>
    <w:p w14:paraId="45A58386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9B383CB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池上鄉撤離28人(24人返家，餘4人收容)</w:t>
      </w:r>
    </w:p>
    <w:p w14:paraId="76D3F3F6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3C430FE4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3C56A7A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792C38D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金峰鄉撤離370人(除收容3人，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464F487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大武鄉撤離6人(1人返家，餘收容5)</w:t>
      </w:r>
    </w:p>
    <w:p w14:paraId="4005C612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達仁鄉撤離1人(住親戚家，明日就醫)</w:t>
      </w:r>
    </w:p>
    <w:p w14:paraId="388C7103" w14:textId="77777777" w:rsidR="00000000" w:rsidRDefault="00000000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ED85D13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hint="eastAsia"/>
        </w:rPr>
      </w:pPr>
    </w:p>
    <w:p w14:paraId="4D778BB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E373E2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719AFF1A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15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D1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B8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8A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EAEF430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85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9F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11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37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8DAB62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698B7C91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736A490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7653F2A3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A600633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5E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693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2C4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24小時累計雨量(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087B859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8D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39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073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352</w:t>
            </w:r>
          </w:p>
        </w:tc>
      </w:tr>
      <w:tr w:rsidR="00000000" w14:paraId="042D9CC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CF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歷坵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EF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7150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323.5</w:t>
            </w:r>
          </w:p>
        </w:tc>
      </w:tr>
      <w:tr w:rsidR="00000000" w14:paraId="7EDF336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81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金崙山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1B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785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292.5</w:t>
            </w:r>
          </w:p>
        </w:tc>
      </w:tr>
      <w:tr w:rsidR="00000000" w14:paraId="36B27A1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F6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金峰嘉蘭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BD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378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241</w:t>
            </w:r>
          </w:p>
        </w:tc>
      </w:tr>
      <w:tr w:rsidR="00000000" w14:paraId="67CC56E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DA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金峰鄉公所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EC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D21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234.5</w:t>
            </w:r>
          </w:p>
        </w:tc>
      </w:tr>
    </w:tbl>
    <w:p w14:paraId="252E45AB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2F07A920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66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AF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772A3B3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10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FF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  <w:tr w:rsidR="00000000" w14:paraId="1BBC1FF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96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金崙山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FC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平均風力2級，陣風5級</w:t>
            </w:r>
          </w:p>
        </w:tc>
      </w:tr>
      <w:tr w:rsidR="00000000" w14:paraId="6550DD0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1D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5E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  <w:tr w:rsidR="00000000" w14:paraId="103516E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B9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C5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</w:tbl>
    <w:p w14:paraId="5FBB5F06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3239463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6529E99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82ED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A61A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EB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35A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4557A27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EA61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4383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BBE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5E8E" w14:textId="77777777" w:rsidR="00000000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1E3BFAB8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E0E226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5B6E84AD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E2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069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F08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043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B36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09F61B09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C507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71C4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25F9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9D06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A14F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4177D8C0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160FA7BA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053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8D3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363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E7E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349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55F0AB80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23724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A53F4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3A137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924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525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4885F7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8CD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7EFDB198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31099" w14:textId="77777777" w:rsidR="00000000" w:rsidRDefault="00000000"/>
        </w:tc>
      </w:tr>
    </w:tbl>
    <w:p w14:paraId="0CF0394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6D1075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C14870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273E73D2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D8C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7EEA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BB3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F4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B12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F7AC03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17C8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1AFD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32C0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DD99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F4FF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232DC9B1" w14:textId="77777777" w:rsidR="00000000" w:rsidRDefault="00000000">
      <w:pPr>
        <w:spacing w:line="320" w:lineRule="atLeast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57CAF7CF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439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21B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3B1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FA7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77C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F13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E39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20919AA4" w14:textId="77777777" w:rsidR="00000000" w:rsidRDefault="00000000">
      <w:pPr>
        <w:spacing w:line="320" w:lineRule="atLeast"/>
        <w:jc w:val="both"/>
      </w:pPr>
      <w:r>
        <w:t> </w:t>
      </w:r>
    </w:p>
    <w:p w14:paraId="0CE6424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78892FD9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41FD8F6B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773D1D1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說明：本縣災害應變中心於112年10月06日9時00分2級開設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49F9230B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FF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34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4D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3FF078E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29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58F4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5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A5C6F5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10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5027" w14:textId="77777777" w:rsidR="00000000" w:rsidRDefault="00000000">
            <w:pPr>
              <w:spacing w:line="3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A7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蘭嶼鄉、台東市、大武鄉</w:t>
            </w:r>
          </w:p>
        </w:tc>
      </w:tr>
      <w:tr w:rsidR="00000000" w14:paraId="63E2119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71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21F68C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7747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9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C90F10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2653D0C6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87D0E6C" w14:textId="77777777" w:rsidR="00000000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已解除。</w:t>
      </w:r>
    </w:p>
    <w:p w14:paraId="709F44E9" w14:textId="77777777" w:rsidR="00000000" w:rsidRDefault="00000000">
      <w:pPr>
        <w:spacing w:line="320" w:lineRule="atLeast"/>
        <w:ind w:left="480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103"/>
        <w:gridCol w:w="2652"/>
        <w:gridCol w:w="403"/>
      </w:tblGrid>
      <w:tr w:rsidR="00000000" w14:paraId="53C8DCA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8C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100B667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C5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95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F9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0D558C8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F8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海端鄉、鹿野鄉、延平鄉、卑南鄉、關山鎮、金峰鄉、達仁鄉、大武鄉、太麻里鄉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67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海端鄉加拿村(1)；關山鎮月眉里(2)、電光里(1);鹿野鄉瑞豐村(1)、龍田村(1)、瑞和村(1)；延平鄉武陵村(1)、桃源村 (3)、紅葉村(2) 鸞山村(1)、永康村(4)；卑南鄉明峰村(4)、</w:t>
            </w:r>
            <w:r>
              <w:rPr>
                <w:rFonts w:ascii="標楷體" w:eastAsia="標楷體" w:hAnsi="標楷體" w:hint="eastAsia"/>
              </w:rPr>
              <w:lastRenderedPageBreak/>
              <w:t>初鹿村 (5)、美農村(2) 泰安村(4)、利嘉村 (2)、東興村(3) 溫泉村(8)、賓朗村 (3)、利吉村(2) 嘉豐村(6); 金峰鄉新興村(2)、嘉蘭村(2)、歷坵村(1)、賓茂村(1)、正興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D1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109</w:t>
            </w:r>
          </w:p>
        </w:tc>
      </w:tr>
      <w:tr w:rsidR="00000000" w14:paraId="4D074FA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FFCB" w14:textId="77777777" w:rsidR="00000000" w:rsidRDefault="00000000"/>
        </w:tc>
        <w:tc>
          <w:tcPr>
            <w:tcW w:w="1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E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D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D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3519A6" w14:textId="77777777">
        <w:tc>
          <w:tcPr>
            <w:tcW w:w="32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F09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8D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</w:tbl>
    <w:p w14:paraId="4A259453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1722E4C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15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444C5FE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B8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E2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EA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1DB1062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92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0A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7CF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482324D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CE98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7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8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F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E92AF3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216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54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7B2171CF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4D18019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2D02E82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6390431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306B4C16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1A74EA3D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52A3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050EE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E1A4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10740E47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AD97D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654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2856F1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6B33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D9EE3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89F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57C38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DFA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CB060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CC8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594D95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76994EEF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547A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96B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79A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D88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A2B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8A1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6AE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F1B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991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FA30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322D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CA6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2BE66A4E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615F1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4A6C7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EED3E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105244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0E687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88B20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E52C5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A2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628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5F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02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B7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88F6A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3E6BF123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371E4484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9E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B6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E7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0688C236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5C50" w14:textId="77777777" w:rsidR="00000000" w:rsidRDefault="00000000">
            <w:r>
              <w:t>10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332B" w14:textId="77777777" w:rsidR="00000000" w:rsidRDefault="00000000">
            <w:pPr>
              <w:spacing w:line="320" w:lineRule="atLeast"/>
              <w:jc w:val="center"/>
            </w:pPr>
            <w:r>
              <w:rPr>
                <w:rFonts w:hint="eastAsia"/>
              </w:rP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C4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478F3788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C5232CC" w14:textId="77777777" w:rsidR="00000000" w:rsidRDefault="00000000">
      <w:pPr>
        <w:spacing w:line="320" w:lineRule="atLeast"/>
        <w:ind w:left="960" w:hanging="480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今(10/6)日本縣蘭嶼鄉及安朔國小停止上班、停止上課，其餘地區正常上班上課</w:t>
      </w:r>
    </w:p>
    <w:p w14:paraId="5873A68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7C7A05E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0601980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 w14:paraId="46C9D31C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3E2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6BB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DD2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69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B060F8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53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3F735C1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BEA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82C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0D2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5AD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75EEB0A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B8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023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ED24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41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CA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A3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CF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7D3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FB25" w14:textId="77777777" w:rsidR="00000000" w:rsidRDefault="00000000"/>
        </w:tc>
      </w:tr>
      <w:tr w:rsidR="00000000" w14:paraId="4FD2B29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CE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E6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FDB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98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79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60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10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3974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F81A" w14:textId="77777777" w:rsidR="00000000" w:rsidRDefault="00000000"/>
        </w:tc>
      </w:tr>
      <w:tr w:rsidR="00000000" w14:paraId="368785C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5C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CB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F4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35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CF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92B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61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E86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6A5F" w14:textId="77777777" w:rsidR="00000000" w:rsidRDefault="00000000"/>
        </w:tc>
      </w:tr>
      <w:tr w:rsidR="00000000" w14:paraId="1099F66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A67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08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D312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42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47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C2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379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A1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3A5D" w14:textId="77777777" w:rsidR="00000000" w:rsidRDefault="00000000"/>
        </w:tc>
      </w:tr>
      <w:tr w:rsidR="00000000" w14:paraId="5656DECB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8C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C8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5E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12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E9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D2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39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3F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BA5A" w14:textId="77777777" w:rsidR="00000000" w:rsidRDefault="00000000"/>
        </w:tc>
      </w:tr>
      <w:tr w:rsidR="00000000" w14:paraId="5371038A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F2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7F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13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E7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9D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4D5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58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979B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E795" w14:textId="77777777" w:rsidR="00000000" w:rsidRDefault="00000000"/>
        </w:tc>
      </w:tr>
      <w:tr w:rsidR="00000000" w14:paraId="409F60AB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98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F2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DE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DDA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73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4C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91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FE37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55E1" w14:textId="77777777" w:rsidR="00000000" w:rsidRDefault="00000000"/>
        </w:tc>
      </w:tr>
      <w:tr w:rsidR="00000000" w14:paraId="72BBAD1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68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EB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38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54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416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13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CE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29D3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4152" w14:textId="77777777" w:rsidR="00000000" w:rsidRDefault="00000000"/>
        </w:tc>
      </w:tr>
      <w:tr w:rsidR="00000000" w14:paraId="4BA7461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73E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B2E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E1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2F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9F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97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5F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EC40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3A6C" w14:textId="77777777" w:rsidR="00000000" w:rsidRDefault="00000000"/>
        </w:tc>
      </w:tr>
      <w:tr w:rsidR="00000000" w14:paraId="2F3A9A6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6F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22E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D93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444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B5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A2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0D3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979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768B" w14:textId="77777777" w:rsidR="00000000" w:rsidRDefault="00000000"/>
        </w:tc>
      </w:tr>
      <w:tr w:rsidR="00000000" w14:paraId="0353C27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F89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lastRenderedPageBreak/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DD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0F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84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AB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82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0B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C9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1A7C" w14:textId="77777777" w:rsidR="00000000" w:rsidRDefault="00000000"/>
        </w:tc>
      </w:tr>
      <w:tr w:rsidR="00000000" w14:paraId="06945F6B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2AA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C68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DC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25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BB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DE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94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CF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CC03" w14:textId="77777777" w:rsidR="00000000" w:rsidRDefault="00000000"/>
        </w:tc>
      </w:tr>
      <w:tr w:rsidR="00000000" w14:paraId="6F6532F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34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1D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6E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E3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B0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53E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71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91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8780" w14:textId="77777777" w:rsidR="00000000" w:rsidRDefault="00000000"/>
        </w:tc>
      </w:tr>
      <w:tr w:rsidR="00000000" w14:paraId="5785290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EB3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F4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C8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A3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5E1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04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FD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B6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71F8" w14:textId="77777777" w:rsidR="00000000" w:rsidRDefault="00000000"/>
        </w:tc>
      </w:tr>
      <w:tr w:rsidR="00000000" w14:paraId="46C80DD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08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7C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29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2F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4E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91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D3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1D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B275" w14:textId="77777777" w:rsidR="00000000" w:rsidRDefault="00000000"/>
        </w:tc>
      </w:tr>
      <w:tr w:rsidR="00000000" w14:paraId="14AAD70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DB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7B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87D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9DE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3C9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BF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DB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BB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9527" w14:textId="77777777" w:rsidR="00000000" w:rsidRDefault="00000000"/>
        </w:tc>
      </w:tr>
      <w:tr w:rsidR="00000000" w14:paraId="4418EFA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FE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098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D5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AF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4C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1B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6B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E4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6EA2" w14:textId="77777777" w:rsidR="00000000" w:rsidRDefault="00000000"/>
        </w:tc>
      </w:tr>
      <w:tr w:rsidR="00000000" w14:paraId="0DA1D33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B9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A0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33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B9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F6D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45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F84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247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CB44" w14:textId="77777777" w:rsidR="00000000" w:rsidRDefault="00000000"/>
        </w:tc>
      </w:tr>
      <w:tr w:rsidR="00000000" w14:paraId="3CFC298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7A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C5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2D79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4C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559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7A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BD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98D7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</w:rPr>
              <w:t>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2EBF" w14:textId="77777777" w:rsidR="00000000" w:rsidRDefault="00000000"/>
        </w:tc>
      </w:tr>
      <w:tr w:rsidR="00000000" w14:paraId="1E184B2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1F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03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A8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43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68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B9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9D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F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1FDD" w14:textId="77777777" w:rsidR="00000000" w:rsidRDefault="00000000"/>
        </w:tc>
      </w:tr>
    </w:tbl>
    <w:p w14:paraId="250830A0" w14:textId="77777777" w:rsidR="00000000" w:rsidRDefault="00000000">
      <w:pPr>
        <w:spacing w:before="180" w:after="180" w:line="320" w:lineRule="atLeast"/>
        <w:ind w:firstLine="538"/>
        <w:jc w:val="both"/>
      </w:pPr>
    </w:p>
    <w:p w14:paraId="463E1D9A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81"/>
        <w:gridCol w:w="543"/>
        <w:gridCol w:w="776"/>
        <w:gridCol w:w="452"/>
        <w:gridCol w:w="453"/>
        <w:gridCol w:w="453"/>
        <w:gridCol w:w="453"/>
        <w:gridCol w:w="514"/>
        <w:gridCol w:w="514"/>
        <w:gridCol w:w="514"/>
        <w:gridCol w:w="514"/>
        <w:gridCol w:w="514"/>
        <w:gridCol w:w="514"/>
        <w:gridCol w:w="514"/>
        <w:gridCol w:w="1616"/>
      </w:tblGrid>
      <w:tr w:rsidR="00000000" w14:paraId="7F397026" w14:textId="77777777">
        <w:trPr>
          <w:trHeight w:val="197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6E9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7CC9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5A721F9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6F6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749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18F30C4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3F2B210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524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5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38E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D2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A85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4D9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DCA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186D34B3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04E7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E7A4E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6C4B8" w14:textId="77777777" w:rsidR="00000000" w:rsidRDefault="00000000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C48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2D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80E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41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59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FF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F6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FE2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3A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63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C4D19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6A82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9600" w14:textId="77777777" w:rsidR="00000000" w:rsidRDefault="00000000"/>
        </w:tc>
      </w:tr>
      <w:tr w:rsidR="00000000" w14:paraId="5EFB7B77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816F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40F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FBB4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F6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77CC" w14:textId="77777777" w:rsidR="00000000" w:rsidRDefault="00000000"/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ADD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FE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F6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93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D5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AE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B7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70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93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E3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FA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000000" w14:paraId="5A4687F0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5FDD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A7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A0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66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5E07" w14:textId="77777777" w:rsidR="00000000" w:rsidRDefault="00000000"/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29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8A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2ED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29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78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19F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DA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E6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C4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4B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A8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000000" w14:paraId="338EDF1A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ECBC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CD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B6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DCF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5CB4" w14:textId="77777777" w:rsidR="00000000" w:rsidRDefault="00000000"/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2AB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EF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46B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B8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27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36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5A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E73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AC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399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3A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000000" w14:paraId="605C08F7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BC38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66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7C0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AE99" w14:textId="77777777" w:rsidR="00000000" w:rsidRDefault="00000000"/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2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435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44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A1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E10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D6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797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A2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DB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6F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056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宋世宇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4D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089-561298</w:t>
            </w:r>
          </w:p>
        </w:tc>
      </w:tr>
      <w:tr w:rsidR="00000000" w14:paraId="6E2AEFB4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D767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64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E8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B7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7295" w14:textId="77777777" w:rsidR="00000000" w:rsidRDefault="00000000"/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B2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E8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EB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85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A6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0D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C3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0F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77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E3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0C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000000" w14:paraId="67BA893A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C002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CAB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CA7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D0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602C" w14:textId="77777777" w:rsidR="00000000" w:rsidRDefault="00000000"/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57D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D2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A9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BC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4E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91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82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0A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11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76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F3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000000" w14:paraId="6AD6CCC4" w14:textId="77777777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6064" w14:textId="77777777" w:rsidR="00000000" w:rsidRDefault="00000000"/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D2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4FEA" w14:textId="77777777" w:rsidR="0000000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7F8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33E2" w14:textId="77777777" w:rsidR="00000000" w:rsidRDefault="00000000"/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2B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F6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C3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79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2DC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D5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6D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1CF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6C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F29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E6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</w:tbl>
    <w:p w14:paraId="4D7A654D" w14:textId="77777777" w:rsidR="00000000" w:rsidRDefault="00000000">
      <w:pPr>
        <w:spacing w:before="180" w:after="180" w:line="320" w:lineRule="atLeast"/>
        <w:ind w:left="480"/>
        <w:jc w:val="both"/>
      </w:pPr>
    </w:p>
    <w:p w14:paraId="6B8D1C9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1F8F33C9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910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34"/>
        <w:gridCol w:w="1834"/>
        <w:gridCol w:w="1942"/>
        <w:gridCol w:w="2310"/>
      </w:tblGrid>
      <w:tr w:rsidR="00000000" w14:paraId="7D19D85B" w14:textId="77777777">
        <w:trPr>
          <w:tblHeader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78F7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鄉鎮市別</w:t>
            </w:r>
            <w:proofErr w:type="gramEnd"/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78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4E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C83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CF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5B8D6342" w14:textId="77777777">
        <w:trPr>
          <w:tblHeader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167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0B35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D25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78D4" w14:textId="77777777" w:rsidR="00000000" w:rsidRDefault="00000000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FE0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傷情共計30人受傷，0人死亡： 1. 大武鄉衛生所1人(輕傷，已離院) 2. 蘭嶼鄉衛生所18人(18人輕傷，皆已離開衛生所) 3. 東基4人(3級檢傷：2人離院、1人骨折住院中、1骨折手術中) 4. 東馬7人(3級檢傷：5人已離院，2級檢傷：2人，1人手術中，1人由蘭嶼衛生所空轉，骨折住院中。</w:t>
            </w:r>
          </w:p>
        </w:tc>
      </w:tr>
      <w:tr w:rsidR="00000000" w14:paraId="5D11A88C" w14:textId="77777777"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C4B3" w14:textId="77777777" w:rsidR="00000000" w:rsidRDefault="00000000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E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8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7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3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73249" w14:textId="77777777"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F1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6C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CD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1BF2" w14:textId="77777777" w:rsidR="00000000" w:rsidRDefault="00000000">
            <w:pPr>
              <w:spacing w:line="320" w:lineRule="atLeast"/>
              <w:jc w:val="center"/>
            </w:pPr>
            <w:r>
              <w:t>30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F11A" w14:textId="77777777" w:rsidR="00000000" w:rsidRDefault="00000000"/>
        </w:tc>
      </w:tr>
    </w:tbl>
    <w:p w14:paraId="1980EB12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01C6CF22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0"/>
        <w:gridCol w:w="1326"/>
        <w:gridCol w:w="28"/>
        <w:gridCol w:w="1380"/>
        <w:gridCol w:w="1725"/>
        <w:gridCol w:w="1692"/>
        <w:gridCol w:w="2530"/>
        <w:gridCol w:w="30"/>
      </w:tblGrid>
      <w:tr w:rsidR="00000000" w14:paraId="6B97C720" w14:textId="77777777">
        <w:trPr>
          <w:trHeight w:val="735"/>
          <w:tblHeader/>
          <w:jc w:val="center"/>
        </w:trPr>
        <w:tc>
          <w:tcPr>
            <w:tcW w:w="1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0A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37708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97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CE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8E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E8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72777386" w14:textId="77777777" w:rsidR="00000000" w:rsidRDefault="00000000">
            <w:r>
              <w:t> </w:t>
            </w:r>
          </w:p>
        </w:tc>
      </w:tr>
      <w:tr w:rsidR="00000000" w14:paraId="33D99C76" w14:textId="77777777">
        <w:trPr>
          <w:trHeight w:val="735"/>
          <w:tblHeader/>
          <w:jc w:val="center"/>
        </w:trPr>
        <w:tc>
          <w:tcPr>
            <w:tcW w:w="1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02B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376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33382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028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29291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C14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4091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171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響戶數：33382戶，已復電：29291戶，目前仍停電：4091戶，各鄉鎮停電情況：蘭嶼鄉1322戶、海端鄉733戶、大武鄉626戶、達仁鄉493戶、卑南鄉263戶、太麻里鄉180戶、東河鄉176戶、鹿野鄉88戶、關山鎮57戶、成功鎮47戶、金峰鄉41戶、台東市38戶、綠島鄉27戶。</w:t>
            </w:r>
          </w:p>
        </w:tc>
        <w:tc>
          <w:tcPr>
            <w:tcW w:w="30" w:type="dxa"/>
            <w:vAlign w:val="center"/>
          </w:tcPr>
          <w:p w14:paraId="4EB293B6" w14:textId="77777777" w:rsidR="00000000" w:rsidRDefault="00000000">
            <w:pPr>
              <w:rPr>
                <w:rFonts w:hint="eastAsia"/>
              </w:rPr>
            </w:pPr>
          </w:p>
        </w:tc>
      </w:tr>
      <w:tr w:rsidR="00000000" w14:paraId="1980B770" w14:textId="77777777">
        <w:trPr>
          <w:trHeight w:val="735"/>
          <w:tblHeader/>
          <w:jc w:val="center"/>
        </w:trPr>
        <w:tc>
          <w:tcPr>
            <w:tcW w:w="13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318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1A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30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82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D3F8" w14:textId="77777777" w:rsidR="00000000" w:rsidRDefault="00000000"/>
        </w:tc>
        <w:tc>
          <w:tcPr>
            <w:tcW w:w="30" w:type="dxa"/>
            <w:vAlign w:val="center"/>
            <w:hideMark/>
          </w:tcPr>
          <w:p w14:paraId="4F44B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A5989" w14:textId="77777777">
        <w:trPr>
          <w:trHeight w:val="735"/>
          <w:tblHeader/>
          <w:jc w:val="center"/>
        </w:trPr>
        <w:tc>
          <w:tcPr>
            <w:tcW w:w="13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FC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6C27EE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EFD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FD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02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E756" w14:textId="77777777" w:rsidR="00000000" w:rsidRDefault="00000000"/>
        </w:tc>
        <w:tc>
          <w:tcPr>
            <w:tcW w:w="30" w:type="dxa"/>
            <w:vAlign w:val="center"/>
            <w:hideMark/>
          </w:tcPr>
          <w:p w14:paraId="3D1EB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DD79E6" w14:textId="77777777">
        <w:trPr>
          <w:gridAfter w:val="1"/>
          <w:wAfter w:w="30" w:type="dxa"/>
          <w:jc w:val="center"/>
        </w:trPr>
        <w:tc>
          <w:tcPr>
            <w:tcW w:w="30" w:type="dxa"/>
            <w:vAlign w:val="center"/>
            <w:hideMark/>
          </w:tcPr>
          <w:p w14:paraId="0DF9C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3716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14:paraId="7091A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14:paraId="1E174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  <w:hideMark/>
          </w:tcPr>
          <w:p w14:paraId="7EF6A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  <w:hideMark/>
          </w:tcPr>
          <w:p w14:paraId="58B96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  <w:hideMark/>
          </w:tcPr>
          <w:p w14:paraId="5CF42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772797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779A32C2" w14:textId="77777777" w:rsidR="00000000" w:rsidRDefault="00000000"/>
        </w:tc>
        <w:tc>
          <w:tcPr>
            <w:tcW w:w="20" w:type="dxa"/>
            <w:vAlign w:val="center"/>
            <w:hideMark/>
          </w:tcPr>
          <w:p w14:paraId="719A4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  <w:hideMark/>
          </w:tcPr>
          <w:p w14:paraId="46390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  <w:hideMark/>
          </w:tcPr>
          <w:p w14:paraId="14546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14:paraId="0620D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  <w:hideMark/>
          </w:tcPr>
          <w:p w14:paraId="36253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  <w:hideMark/>
          </w:tcPr>
          <w:p w14:paraId="4D9E9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  <w:hideMark/>
          </w:tcPr>
          <w:p w14:paraId="5966F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EE65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369E95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56E5B9F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)鐵路： 10月6日行駛概況如下：</w:t>
      </w:r>
    </w:p>
    <w:p w14:paraId="05BDC406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西部幹線：(基隆=潮州=枋寮間)正常行駛。</w:t>
      </w:r>
    </w:p>
    <w:p w14:paraId="5C15C4D0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東部幹線：(樹林=花蓮=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4A2C46F7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線：(枋寮=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1FAB3EAF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(二)客運： 10月6日行駛概況如下：</w:t>
      </w:r>
    </w:p>
    <w:p w14:paraId="079087F5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普悠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：正常行駛。</w:t>
      </w:r>
    </w:p>
    <w:p w14:paraId="4EBC8750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東台灣：正常行駛。</w:t>
      </w:r>
    </w:p>
    <w:p w14:paraId="319FE294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興東客運：正常行駛。</w:t>
      </w:r>
    </w:p>
    <w:p w14:paraId="5DC40B6D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(三)船班： 10月6日船班概況如下：</w:t>
      </w:r>
    </w:p>
    <w:p w14:paraId="44F72F43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台東往返綠島的船班，10月6日中午過後將加開往返各2個航次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1330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台東到綠島、1430綠島回台東，天王星1330台東到綠島、1430綠島回台東。</w:t>
      </w:r>
    </w:p>
    <w:p w14:paraId="59DCEEEF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台東往返蘭嶼及後壁湖往返蘭嶼的船班，自10月2日中午起至10月6日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全部船班取消。</w:t>
      </w:r>
    </w:p>
    <w:p w14:paraId="0BC73F9D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(四)航空： 10月6日航班概況如下：</w:t>
      </w:r>
    </w:p>
    <w:p w14:paraId="75E01604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台東往返台北：立榮航空、華信航空航班正常。</w:t>
      </w:r>
    </w:p>
    <w:p w14:paraId="30B98932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台東往返綠島：德安航空航班正常。</w:t>
      </w:r>
    </w:p>
    <w:p w14:paraId="58D112D0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台東往返蘭嶼：因機場設備損壞待修，10月6日13:50前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7CB929F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（五）道路：</w:t>
      </w:r>
    </w:p>
    <w:p w14:paraId="07C4CE88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預警性封閉路段:2處</w:t>
      </w:r>
    </w:p>
    <w:p w14:paraId="2433F90C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1.台東縣海端鄉台20線149K~171K+500(向陽~利稻) ，已於10月6日上午7道路封閉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進行清災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E5F954" w14:textId="77777777" w:rsidR="00000000" w:rsidRDefault="00000000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2.台東縣東河鄉台23線20k(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)邊坡坍方，已於10月6日上午6道路封閉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進行請災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，預計6日下午6時搶通。</w:t>
      </w:r>
    </w:p>
    <w:p w14:paraId="299AFFA8" w14:textId="77777777" w:rsidR="00000000" w:rsidRDefault="00000000">
      <w:pPr>
        <w:spacing w:before="180" w:line="320" w:lineRule="atLeast"/>
        <w:ind w:firstLine="142"/>
        <w:jc w:val="both"/>
        <w:rPr>
          <w:rFonts w:hint="eastAsia"/>
        </w:rPr>
      </w:pPr>
    </w:p>
    <w:p w14:paraId="3A4E987D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743CBFAF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9929954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724"/>
        <w:gridCol w:w="724"/>
        <w:gridCol w:w="724"/>
        <w:gridCol w:w="416"/>
        <w:gridCol w:w="417"/>
        <w:gridCol w:w="416"/>
        <w:gridCol w:w="416"/>
        <w:gridCol w:w="416"/>
        <w:gridCol w:w="416"/>
        <w:gridCol w:w="551"/>
        <w:gridCol w:w="551"/>
        <w:gridCol w:w="416"/>
        <w:gridCol w:w="416"/>
        <w:gridCol w:w="416"/>
        <w:gridCol w:w="420"/>
        <w:gridCol w:w="416"/>
        <w:gridCol w:w="417"/>
        <w:gridCol w:w="701"/>
      </w:tblGrid>
      <w:tr w:rsidR="00000000" w14:paraId="2ADB4460" w14:textId="77777777">
        <w:trPr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15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69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C4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FB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80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EE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38EAE0EE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E8EC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7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A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5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F6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042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2A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25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14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BE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4C5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E1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2D52DE28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D05F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9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9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8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E46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574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1A8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67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DAD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E72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CCB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7B3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C46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82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6FC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5B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06D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A8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1D9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14:paraId="0E4C1F62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7620" w14:textId="77777777" w:rsidR="00000000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A269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6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7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28A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0E3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76D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8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9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EAE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C13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F7A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9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8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A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6F0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CFC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52B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7055F6CF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B17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0B48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9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B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D11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1F6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778C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0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D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8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80E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189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6047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7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A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2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E64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9E2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747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748BCD4A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4D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CDDEE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B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9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8F3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260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831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A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C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B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1BD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DE7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99D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2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59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8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4D2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DAC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04CC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E9344BE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7F2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CAF8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5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D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F97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47E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9A7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C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3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5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C15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61A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92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9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7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9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1BB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8C3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8F3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30C1AE1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E7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D33C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F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17F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580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546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7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FB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9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50F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4F3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FCF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D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F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5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DFD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D52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84DF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7FEE49E1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089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ADC5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5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E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245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57B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35C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2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3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7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0DE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519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5B8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3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F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A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09A1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2ED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E7A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3766D29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2BB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990B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1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E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41A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673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428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3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6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C78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0BB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6A3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2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0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5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AD5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31C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A88F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38FD609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977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597D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D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D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B1D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F0A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200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4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8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7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E81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DA4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74B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9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E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4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ECB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DE5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2A8B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648C6148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F24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8EC7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2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D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F77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06DD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3170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7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5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1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F7F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E63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9E82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A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A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5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66D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1EE5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1A7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A429B00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F26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4A4D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6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4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793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118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BDD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B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4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4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828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327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96C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9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9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C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E6B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E1C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623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57E2D2CA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048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7080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B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0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214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E66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AA54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4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7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6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E9E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40C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F82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4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4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1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5EF0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F14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432D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565469B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672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0501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A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0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96E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E96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9AA3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3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9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D10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0BC3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ED1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5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1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D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B1E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A7D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110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4F56BAA9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69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6762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C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F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462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AC7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6BE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D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5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A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46C1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503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988F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6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F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0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C59F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554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646E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378EF825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B20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93B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3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B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81BE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101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39C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E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F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9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C04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035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FD25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3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1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3D42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C88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65D9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430D1419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73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F540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8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3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2EE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9BF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9EE9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2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8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3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1CD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AD4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BE68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8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0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4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CEE8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6A9A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8B5C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00000" w14:paraId="0752F773" w14:textId="77777777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EE7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蘭嶼鄉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BD25" w14:textId="77777777"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0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3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7BB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F3AC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DF61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7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9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6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6159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5CC4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7EFA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2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2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E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1A3B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0FB7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C7DC" w14:textId="77777777" w:rsidR="00000000" w:rsidRDefault="00000000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14:paraId="14EBB6EB" w14:textId="77777777" w:rsidR="00000000" w:rsidRDefault="00000000">
      <w:pPr>
        <w:spacing w:line="320" w:lineRule="atLeast"/>
      </w:pPr>
      <w:r>
        <w:t> </w:t>
      </w:r>
    </w:p>
    <w:p w14:paraId="31D51B6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捌、支援縣市害應變處理情形：無</w:t>
      </w:r>
    </w:p>
    <w:p w14:paraId="578A1E6E" w14:textId="77777777" w:rsidR="00000000" w:rsidRDefault="00000000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 玖、蘭嶼鄉災後復原搶修</w:t>
      </w:r>
    </w:p>
    <w:p w14:paraId="68BE4923" w14:textId="67E31DA1" w:rsidR="00000000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針對蘭嶼鄉遭受17級風後嚴重災情的搶修工程，縣府</w:t>
      </w:r>
      <w:r w:rsidR="00E67BC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災害應變中心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今日9點，由空勤總隊直升機及軍方運輸直升機分別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載送災修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工程人員前往蘭嶼，共有台電、中油、中華電信、消防局、環保局、農業處等31位專業的維修技術人員，</w:t>
      </w:r>
      <w:r w:rsidR="00E67BC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進行維生系統搶修。</w:t>
      </w:r>
    </w:p>
    <w:p w14:paraId="6708A21F" w14:textId="0EF4A2E0" w:rsidR="00000000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另整備11噸抓斗車、小吊車、怪手等數台重型機具，以及蘭嶼鄉公所要求之圓鍬、鏈鋸等搶修工具、民生物資、乾糧等，將協調民間貨船開往蘭嶼。(救災支援情形詳如一覽表)</w:t>
      </w:r>
    </w:p>
    <w:p w14:paraId="51407A5E" w14:textId="77777777" w:rsidR="001B1B7F" w:rsidRDefault="001B1B7F">
      <w:pPr>
        <w:spacing w:line="320" w:lineRule="atLeast"/>
        <w:rPr>
          <w:rFonts w:hint="eastAsia"/>
        </w:rPr>
      </w:pPr>
    </w:p>
    <w:sectPr w:rsidR="001B1B7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C239" w14:textId="77777777" w:rsidR="001B1B7F" w:rsidRDefault="001B1B7F" w:rsidP="00E67BC7">
      <w:r>
        <w:separator/>
      </w:r>
    </w:p>
  </w:endnote>
  <w:endnote w:type="continuationSeparator" w:id="0">
    <w:p w14:paraId="3A2BE780" w14:textId="77777777" w:rsidR="001B1B7F" w:rsidRDefault="001B1B7F" w:rsidP="00E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73CD" w14:textId="77777777" w:rsidR="001B1B7F" w:rsidRDefault="001B1B7F" w:rsidP="00E67BC7">
      <w:r>
        <w:separator/>
      </w:r>
    </w:p>
  </w:footnote>
  <w:footnote w:type="continuationSeparator" w:id="0">
    <w:p w14:paraId="25F0DD37" w14:textId="77777777" w:rsidR="001B1B7F" w:rsidRDefault="001B1B7F" w:rsidP="00E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0AFE"/>
    <w:multiLevelType w:val="hybridMultilevel"/>
    <w:tmpl w:val="69C069C6"/>
    <w:lvl w:ilvl="0" w:tplc="B4F80488">
      <w:start w:val="1"/>
      <w:numFmt w:val="taiwaneseCountingThousand"/>
      <w:lvlText w:val="(%1)"/>
      <w:lvlJc w:val="left"/>
      <w:pPr>
        <w:ind w:left="1785" w:hanging="585"/>
      </w:pPr>
    </w:lvl>
    <w:lvl w:ilvl="1" w:tplc="1E3C413C">
      <w:start w:val="1"/>
      <w:numFmt w:val="decimalFullWidth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 w16cid:durableId="210196646">
    <w:abstractNumId w:val="0"/>
  </w:num>
  <w:num w:numId="2" w16cid:durableId="294800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C7"/>
    <w:rsid w:val="001B1B7F"/>
    <w:rsid w:val="00E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B90C9"/>
  <w15:chartTrackingRefBased/>
  <w15:docId w15:val="{65C492C7-A39B-4874-92A3-C9A53BA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dcterms:created xsi:type="dcterms:W3CDTF">2023-10-06T04:17:00Z</dcterms:created>
  <dcterms:modified xsi:type="dcterms:W3CDTF">2023-10-06T04:17:00Z</dcterms:modified>
</cp:coreProperties>
</file>