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A3FF" w14:textId="726B4A01" w:rsidR="0000000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3E1811">
        <w:rPr>
          <w:rFonts w:ascii="標楷體" w:eastAsia="標楷體" w:hAnsi="標楷體" w:hint="eastAsia"/>
          <w:b/>
          <w:bCs/>
          <w:sz w:val="32"/>
          <w:szCs w:val="32"/>
        </w:rPr>
        <w:t>第四報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55EC5616" w14:textId="5143FA42" w:rsidR="00000000" w:rsidRPr="00B505F6" w:rsidRDefault="00000000">
      <w:pPr>
        <w:pStyle w:val="Default"/>
        <w:spacing w:line="320" w:lineRule="atLeast"/>
        <w:jc w:val="right"/>
      </w:pPr>
      <w:r>
        <w:rPr>
          <w:rFonts w:hint="eastAsia"/>
        </w:rPr>
        <w:t> </w:t>
      </w:r>
      <w:r w:rsidRPr="00B505F6">
        <w:rPr>
          <w:rFonts w:hint="eastAsia"/>
        </w:rPr>
        <w:t>統計截止時間：</w:t>
      </w:r>
      <w:r w:rsidR="00B505F6" w:rsidRPr="00B505F6">
        <w:rPr>
          <w:rFonts w:hint="eastAsia"/>
        </w:rPr>
        <w:t>112</w:t>
      </w:r>
      <w:r w:rsidRPr="00B505F6">
        <w:rPr>
          <w:rFonts w:hint="eastAsia"/>
        </w:rPr>
        <w:t>/</w:t>
      </w:r>
      <w:r w:rsidR="00B505F6" w:rsidRPr="00B505F6">
        <w:rPr>
          <w:rFonts w:hint="eastAsia"/>
        </w:rPr>
        <w:t>09</w:t>
      </w:r>
      <w:r w:rsidRPr="00B505F6">
        <w:rPr>
          <w:rFonts w:hint="eastAsia"/>
        </w:rPr>
        <w:t>/</w:t>
      </w:r>
      <w:r w:rsidR="00B505F6" w:rsidRPr="00B505F6">
        <w:rPr>
          <w:rFonts w:hint="eastAsia"/>
        </w:rPr>
        <w:t>02</w:t>
      </w:r>
      <w:r w:rsidRPr="00B505F6">
        <w:rPr>
          <w:rFonts w:hint="eastAsia"/>
        </w:rPr>
        <w:t xml:space="preserve"> </w:t>
      </w:r>
      <w:r w:rsidR="00B505F6" w:rsidRPr="00B505F6">
        <w:rPr>
          <w:rFonts w:hint="eastAsia"/>
        </w:rPr>
        <w:t>20</w:t>
      </w:r>
      <w:r w:rsidRPr="00B505F6">
        <w:rPr>
          <w:rFonts w:hint="eastAsia"/>
        </w:rPr>
        <w:t>：</w:t>
      </w:r>
      <w:r w:rsidR="00B505F6" w:rsidRPr="00B505F6">
        <w:rPr>
          <w:rFonts w:hint="eastAsia"/>
        </w:rPr>
        <w:t>3</w:t>
      </w:r>
      <w:r w:rsidRPr="00B505F6">
        <w:rPr>
          <w:rFonts w:hint="eastAsia"/>
        </w:rPr>
        <w:t>0</w:t>
      </w:r>
    </w:p>
    <w:p w14:paraId="66AF6BEC" w14:textId="0312DF62" w:rsidR="00000000" w:rsidRDefault="00000000">
      <w:pPr>
        <w:spacing w:line="320" w:lineRule="atLeast"/>
        <w:jc w:val="center"/>
        <w:rPr>
          <w:rFonts w:hint="eastAsia"/>
        </w:rPr>
      </w:pPr>
      <w:r w:rsidRPr="00B505F6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B505F6" w:rsidRPr="00B505F6">
        <w:rPr>
          <w:rFonts w:hint="eastAsia"/>
        </w:rPr>
        <w:t>112/09/02</w:t>
      </w:r>
      <w:r w:rsidRPr="00B505F6">
        <w:rPr>
          <w:rFonts w:ascii="標楷體" w:eastAsia="標楷體" w:hAnsi="標楷體" w:hint="eastAsia"/>
        </w:rPr>
        <w:t xml:space="preserve"> </w:t>
      </w:r>
      <w:r w:rsidR="00B505F6" w:rsidRPr="00B505F6">
        <w:rPr>
          <w:rFonts w:ascii="標楷體" w:eastAsia="標楷體" w:hAnsi="標楷體" w:hint="eastAsia"/>
        </w:rPr>
        <w:t>21</w:t>
      </w:r>
      <w:r w:rsidRPr="00B505F6">
        <w:rPr>
          <w:rFonts w:ascii="標楷體" w:eastAsia="標楷體" w:hAnsi="標楷體" w:hint="eastAsia"/>
        </w:rPr>
        <w:t>：00</w:t>
      </w:r>
    </w:p>
    <w:p w14:paraId="72CC2615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CDDDC4E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0355B771" w14:textId="7F6B4C31" w:rsidR="00082FD0" w:rsidRDefault="00082FD0" w:rsidP="00082FD0">
      <w:pPr>
        <w:pStyle w:val="af5"/>
        <w:spacing w:line="440" w:lineRule="exac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(一)本縣</w:t>
      </w:r>
      <w:r w:rsidR="00035AB5">
        <w:rPr>
          <w:rFonts w:ascii="標楷體" w:eastAsia="標楷體" w:hAnsi="標楷體" w:hint="eastAsia"/>
          <w:sz w:val="28"/>
          <w:szCs w:val="28"/>
        </w:rPr>
        <w:t>明</w:t>
      </w:r>
      <w:r>
        <w:rPr>
          <w:rFonts w:ascii="標楷體" w:eastAsia="標楷體" w:hAnsi="標楷體" w:hint="eastAsia"/>
          <w:sz w:val="28"/>
          <w:szCs w:val="28"/>
        </w:rPr>
        <w:t>(9/</w:t>
      </w:r>
      <w:r w:rsidR="00035AB5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)日停止上班上課標準。</w:t>
      </w:r>
    </w:p>
    <w:p w14:paraId="0A6B1357" w14:textId="5BF0477F" w:rsidR="00082FD0" w:rsidRDefault="00082FD0" w:rsidP="00082FD0">
      <w:pPr>
        <w:pStyle w:val="af5"/>
        <w:spacing w:line="440" w:lineRule="exact"/>
        <w:ind w:leftChars="250" w:left="600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035AB5" w:rsidRPr="00035AB5">
        <w:rPr>
          <w:rFonts w:hint="eastAsia"/>
        </w:rPr>
        <w:t xml:space="preserve"> </w:t>
      </w:r>
      <w:r w:rsidR="00035AB5" w:rsidRPr="00035AB5">
        <w:rPr>
          <w:rFonts w:ascii="標楷體" w:eastAsia="標楷體" w:hAnsi="標楷體" w:hint="eastAsia"/>
          <w:sz w:val="28"/>
          <w:szCs w:val="28"/>
        </w:rPr>
        <w:t>考選部公告112年公務人員特種考試原住民族考試第二天考試由原9月3日(星期日)延期至9月4日(星期一)舉行。</w:t>
      </w:r>
    </w:p>
    <w:p w14:paraId="06596CBD" w14:textId="07E729D3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082FD0">
        <w:rPr>
          <w:rFonts w:ascii="標楷體" w:eastAsia="標楷體" w:hAnsi="標楷體" w:hint="eastAsia"/>
          <w:sz w:val="28"/>
          <w:szCs w:val="28"/>
        </w:rPr>
        <w:t>無災情。</w:t>
      </w:r>
    </w:p>
    <w:p w14:paraId="2FAD3E51" w14:textId="7D54D91D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082FD0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082FD0">
        <w:rPr>
          <w:rFonts w:ascii="標楷體" w:eastAsia="標楷體" w:hAnsi="標楷體" w:hint="eastAsia"/>
          <w:sz w:val="28"/>
          <w:szCs w:val="28"/>
        </w:rPr>
        <w:t>無傷亡。</w:t>
      </w:r>
    </w:p>
    <w:p w14:paraId="243C70FC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B76C5E6" w14:textId="77777777" w:rsidR="00082FD0" w:rsidRDefault="00082FD0" w:rsidP="00082FD0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bookmarkStart w:id="0" w:name="_Hlk144581502"/>
      <w:r>
        <w:rPr>
          <w:rFonts w:ascii="標楷體" w:eastAsia="標楷體" w:hAnsi="標楷體" w:hint="eastAsia"/>
          <w:sz w:val="28"/>
          <w:szCs w:val="28"/>
        </w:rPr>
        <w:t>劃定本縣「向陽山區至大武山區（含中央山脈及海岸山脈）、各河川溪流水域（含土石流潛勢溪流）、長濱至大武暨蘭嶼、綠島沿線之海岸、漁港」為限制或禁止人民進入或命其離去之範圍。</w:t>
      </w:r>
    </w:p>
    <w:bookmarkEnd w:id="0"/>
    <w:p w14:paraId="11CA048D" w14:textId="77777777" w:rsidR="00082FD0" w:rsidRDefault="00000000" w:rsidP="00082FD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082FD0">
        <w:rPr>
          <w:rFonts w:ascii="標楷體" w:eastAsia="標楷體" w:hAnsi="標楷體" w:hint="eastAsia"/>
          <w:sz w:val="28"/>
          <w:szCs w:val="28"/>
        </w:rPr>
        <w:t>正常。</w:t>
      </w:r>
    </w:p>
    <w:p w14:paraId="1EDFE3F2" w14:textId="0E1D5B95"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2A344F21" w14:textId="77777777" w:rsidR="00F55D9D" w:rsidRPr="00F55D9D" w:rsidRDefault="00F55D9D" w:rsidP="00F55D9D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F55D9D">
        <w:rPr>
          <w:rFonts w:ascii="標楷體" w:eastAsia="標楷體" w:hAnsi="標楷體" w:hint="eastAsia"/>
          <w:sz w:val="28"/>
          <w:szCs w:val="28"/>
        </w:rPr>
        <w:t>1.鐵路運輸 : 東部幹線、南</w:t>
      </w:r>
      <w:proofErr w:type="gramStart"/>
      <w:r w:rsidRPr="00F55D9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55D9D">
        <w:rPr>
          <w:rFonts w:ascii="標楷體" w:eastAsia="標楷體" w:hAnsi="標楷體" w:hint="eastAsia"/>
          <w:sz w:val="28"/>
          <w:szCs w:val="28"/>
        </w:rPr>
        <w:t>新左營-台東站9月3日未公告。</w:t>
      </w:r>
    </w:p>
    <w:p w14:paraId="33CC7144" w14:textId="77777777" w:rsidR="00F55D9D" w:rsidRPr="00F55D9D" w:rsidRDefault="00F55D9D" w:rsidP="00F55D9D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F55D9D">
        <w:rPr>
          <w:rFonts w:ascii="標楷體" w:eastAsia="標楷體" w:hAnsi="標楷體" w:hint="eastAsia"/>
          <w:sz w:val="28"/>
          <w:szCs w:val="28"/>
        </w:rPr>
        <w:t>2.公路運輸 : 東台灣、興東、普悠</w:t>
      </w:r>
      <w:proofErr w:type="gramStart"/>
      <w:r w:rsidRPr="00F55D9D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F55D9D">
        <w:rPr>
          <w:rFonts w:ascii="標楷體" w:eastAsia="標楷體" w:hAnsi="標楷體" w:hint="eastAsia"/>
          <w:sz w:val="28"/>
          <w:szCs w:val="28"/>
        </w:rPr>
        <w:t>客運9月3日停駛。</w:t>
      </w:r>
    </w:p>
    <w:p w14:paraId="45221418" w14:textId="77777777" w:rsidR="00F55D9D" w:rsidRPr="00F55D9D" w:rsidRDefault="00F55D9D" w:rsidP="00F55D9D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F55D9D">
        <w:rPr>
          <w:rFonts w:ascii="標楷體" w:eastAsia="標楷體" w:hAnsi="標楷體" w:hint="eastAsia"/>
          <w:sz w:val="28"/>
          <w:szCs w:val="28"/>
        </w:rPr>
        <w:t>3.船班運輸 : 台東-綠島及台東-蘭嶼等往返航線預計9/1-9/5日停駛。</w:t>
      </w:r>
    </w:p>
    <w:p w14:paraId="4769C71E" w14:textId="77777777" w:rsidR="00F55D9D" w:rsidRPr="00F55D9D" w:rsidRDefault="00F55D9D" w:rsidP="00F55D9D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F55D9D">
        <w:rPr>
          <w:rFonts w:ascii="標楷體" w:eastAsia="標楷體" w:hAnsi="標楷體" w:hint="eastAsia"/>
          <w:sz w:val="28"/>
          <w:szCs w:val="28"/>
        </w:rPr>
        <w:t>4.航空運輸 :</w:t>
      </w:r>
    </w:p>
    <w:p w14:paraId="4008A10A" w14:textId="77777777" w:rsidR="00F55D9D" w:rsidRPr="00F55D9D" w:rsidRDefault="00F55D9D" w:rsidP="00F55D9D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F55D9D">
        <w:rPr>
          <w:rFonts w:ascii="標楷體" w:eastAsia="標楷體" w:hAnsi="標楷體" w:hint="eastAsia"/>
          <w:sz w:val="28"/>
          <w:szCs w:val="28"/>
        </w:rPr>
        <w:t>(1)台東-&gt;台北航線 : 立榮航空、華信航空9月3日全日班機取消。</w:t>
      </w:r>
    </w:p>
    <w:p w14:paraId="2616DFFD" w14:textId="77777777" w:rsidR="00F55D9D" w:rsidRPr="00F55D9D" w:rsidRDefault="00F55D9D" w:rsidP="00F55D9D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F55D9D">
        <w:rPr>
          <w:rFonts w:ascii="標楷體" w:eastAsia="標楷體" w:hAnsi="標楷體" w:hint="eastAsia"/>
          <w:sz w:val="28"/>
          <w:szCs w:val="28"/>
        </w:rPr>
        <w:t>(2)台東-綠島航線 : 德安航空9月3日全日班機取消。</w:t>
      </w:r>
    </w:p>
    <w:p w14:paraId="2CB0AED3" w14:textId="569BC134" w:rsidR="00082FD0" w:rsidRPr="00082FD0" w:rsidRDefault="00F55D9D" w:rsidP="00F55D9D">
      <w:pPr>
        <w:pStyle w:val="af5"/>
        <w:spacing w:line="320" w:lineRule="atLeast"/>
        <w:ind w:left="1202" w:hanging="68"/>
        <w:jc w:val="both"/>
      </w:pPr>
      <w:r w:rsidRPr="00F55D9D">
        <w:rPr>
          <w:rFonts w:ascii="標楷體" w:eastAsia="標楷體" w:hAnsi="標楷體" w:hint="eastAsia"/>
          <w:sz w:val="28"/>
          <w:szCs w:val="28"/>
        </w:rPr>
        <w:t>(3)台東-蘭嶼航線 : 德安航空9月3日全日班機取消。</w:t>
      </w:r>
    </w:p>
    <w:p w14:paraId="751E12DE" w14:textId="77777777" w:rsidR="00B505F6" w:rsidRPr="00082FD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b/>
          <w:bCs/>
          <w:sz w:val="14"/>
          <w:szCs w:val="14"/>
        </w:rPr>
        <w:lastRenderedPageBreak/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tbl>
      <w:tblPr>
        <w:tblW w:w="10773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228"/>
        <w:gridCol w:w="1069"/>
        <w:gridCol w:w="1069"/>
        <w:gridCol w:w="1069"/>
        <w:gridCol w:w="1070"/>
        <w:gridCol w:w="1441"/>
        <w:gridCol w:w="1275"/>
      </w:tblGrid>
      <w:tr w:rsidR="00B505F6" w14:paraId="06CEDDEA" w14:textId="77777777" w:rsidTr="00F55D9D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BF45" w14:textId="77777777" w:rsidR="00B505F6" w:rsidRDefault="00B505F6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6DD7" w14:textId="77777777" w:rsidR="00B505F6" w:rsidRDefault="00B505F6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BEA6" w14:textId="77777777" w:rsidR="00B505F6" w:rsidRDefault="00B505F6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D5B9" w14:textId="77777777" w:rsidR="00B505F6" w:rsidRDefault="00B505F6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45BFF7F1" w14:textId="77777777" w:rsidR="00B505F6" w:rsidRDefault="00B505F6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BB4E" w14:textId="77777777" w:rsidR="00B505F6" w:rsidRDefault="00B505F6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07F9889D" w14:textId="77777777" w:rsidR="00B505F6" w:rsidRDefault="00B505F6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AA75" w14:textId="77777777" w:rsidR="00B505F6" w:rsidRDefault="00B505F6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FF8D" w14:textId="77777777" w:rsidR="00B505F6" w:rsidRDefault="00B505F6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B523" w14:textId="77777777" w:rsidR="00B505F6" w:rsidRDefault="00B505F6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F5A7" w14:textId="77777777" w:rsidR="00B505F6" w:rsidRDefault="00B505F6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55D9D" w:rsidRPr="00B505F6" w14:paraId="4981C1C5" w14:textId="77777777" w:rsidTr="00F55D9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101B" w14:textId="2D707712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bookmarkStart w:id="1" w:name="_Hlk144582820"/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BB32" w14:textId="3BC030C6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2967" w14:textId="66C19776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561E" w14:textId="42E3D1AA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A6EC" w14:textId="4E06B9D2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8666" w14:textId="51F12F1B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C8A7" w14:textId="6815D875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8116" w14:textId="7F2AB021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21B3" w14:textId="467AC93D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洗腎患者1人及陪同家屬1人</w:t>
            </w:r>
          </w:p>
        </w:tc>
      </w:tr>
      <w:tr w:rsidR="00F55D9D" w:rsidRPr="00B505F6" w14:paraId="7DDB99D9" w14:textId="77777777" w:rsidTr="00F55D9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7212" w14:textId="28F28F87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C54D" w14:textId="485E8FB9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忠勇村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ED9F" w14:textId="53AE322A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忠勇村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ADA7" w14:textId="681DA221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9EAF" w14:textId="12F9C3D0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7033" w14:textId="43D07ED3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1916" w14:textId="411E0177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428C" w14:textId="0775777E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長照機構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1BB" w14:textId="77777777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55D9D" w:rsidRPr="00B505F6" w14:paraId="1BBF30A7" w14:textId="77777777" w:rsidTr="00F55D9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0EA5" w14:textId="04A02375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B0AC" w14:textId="6B684E82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A381" w14:textId="4D2C22CC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B70B8" w14:textId="794E8DC7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090D" w14:textId="4532725D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1921" w14:textId="0DC07B35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6DE4" w14:textId="2DC4E08C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9/3 08:00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B80B" w14:textId="62904336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4D44" w14:textId="77777777" w:rsidR="00F55D9D" w:rsidRPr="00B505F6" w:rsidRDefault="00F55D9D" w:rsidP="00F55D9D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55D9D" w:rsidRPr="00B505F6" w14:paraId="5F1CA163" w14:textId="77777777" w:rsidTr="00F55D9D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2F64" w14:textId="6F4CC166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D60F" w14:textId="302DEF2E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E946" w14:textId="69CCD085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E483" w14:textId="4D3E2EDB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07DBC" w14:textId="21815BDE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70C8" w14:textId="03C6CC1C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A08B" w14:textId="5F80AB6D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9/3 10:00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BFF3" w14:textId="5C8EC6F9" w:rsidR="00F55D9D" w:rsidRPr="00B505F6" w:rsidRDefault="00F55D9D" w:rsidP="00F55D9D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A3BE" w14:textId="6C742FD2" w:rsidR="00F55D9D" w:rsidRPr="00B505F6" w:rsidRDefault="00F55D9D" w:rsidP="00F55D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（其中收容121位、依親172位，含旅館住宿）</w:t>
            </w:r>
          </w:p>
        </w:tc>
      </w:tr>
    </w:tbl>
    <w:bookmarkEnd w:id="1"/>
    <w:p w14:paraId="27BE8F2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487A5C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10491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2313"/>
        <w:gridCol w:w="4136"/>
        <w:gridCol w:w="1725"/>
      </w:tblGrid>
      <w:tr w:rsidR="00082FD0" w14:paraId="5248C94F" w14:textId="77777777" w:rsidTr="00035AB5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432E7" w14:textId="77777777" w:rsidR="00082FD0" w:rsidRPr="00082FD0" w:rsidRDefault="00082FD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7448" w14:textId="77777777" w:rsidR="00082FD0" w:rsidRPr="00082FD0" w:rsidRDefault="00082FD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8FA6" w14:textId="77777777" w:rsidR="00082FD0" w:rsidRPr="00082FD0" w:rsidRDefault="00082FD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1B490" w14:textId="77777777" w:rsidR="00082FD0" w:rsidRPr="00082FD0" w:rsidRDefault="00082FD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82FD0" w14:paraId="3A26998C" w14:textId="77777777" w:rsidTr="00035AB5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C31A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102023054149676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8965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土石災情-土石流</w:t>
            </w:r>
          </w:p>
        </w:tc>
        <w:tc>
          <w:tcPr>
            <w:tcW w:w="4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D66F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197縣道8.3k，陳情人表示蘇拉颱風時，大雨沖刷土石流造成水溝</w:t>
            </w: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滿溢泥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流淹至田內。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4C26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東縣池上鄉公所</w:t>
            </w:r>
          </w:p>
          <w:p w14:paraId="63800FE4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東農田水利會</w:t>
            </w:r>
          </w:p>
          <w:p w14:paraId="42EE7F9C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東縣政府建設處</w:t>
            </w:r>
          </w:p>
          <w:p w14:paraId="52A25F15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處理中</w:t>
            </w:r>
          </w:p>
        </w:tc>
      </w:tr>
      <w:tr w:rsidR="00082FD0" w14:paraId="785D78F1" w14:textId="77777777" w:rsidTr="00035AB5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D5F6E" w14:textId="77777777" w:rsid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102023054146984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FB6B" w14:textId="77777777" w:rsid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道路、隧道災情-道路落石</w:t>
            </w:r>
          </w:p>
        </w:tc>
        <w:tc>
          <w:tcPr>
            <w:tcW w:w="4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0679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反映197縣道48K處，目前有落石及樹木倒塌壓到自來水管線破裂，造成噴泉約有一公尺高，影響通行。</w:t>
            </w:r>
          </w:p>
          <w:p w14:paraId="5CC91830" w14:textId="77777777" w:rsid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現場為接引山泉水管線。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1C72D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臺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東縣延平鄉公所</w:t>
            </w:r>
          </w:p>
          <w:p w14:paraId="2432C5BE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東縣政府建設處</w:t>
            </w:r>
          </w:p>
          <w:p w14:paraId="4AD8CCEF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處理中</w:t>
            </w:r>
          </w:p>
          <w:p w14:paraId="7A3ACE87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東縣警察局</w:t>
            </w:r>
          </w:p>
          <w:p w14:paraId="3D120BDA" w14:textId="77777777" w:rsid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已處理</w:t>
            </w:r>
          </w:p>
        </w:tc>
      </w:tr>
      <w:tr w:rsidR="00082FD0" w14:paraId="66D80C50" w14:textId="77777777" w:rsidTr="00035AB5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B215" w14:textId="77777777" w:rsid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102023054152928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A545" w14:textId="77777777" w:rsid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積淹水災情-道路積淹水(</w:t>
            </w: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已退水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3983" w14:textId="77777777" w:rsid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反映【卑南鄉賓朗村517巷】太平溪河堤旁水溝，提供座標位置『22.8030944 121.0916878』，陳情人表示</w:t>
            </w: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目前溝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內無水，但雜草已阻塞排水孔，導致先前下大雨時水溝</w:t>
            </w: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水滿溢至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道路上，擔心颱風將至，下雨將再度淹水，建請清除。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D0A37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待處理</w:t>
            </w:r>
          </w:p>
          <w:p w14:paraId="2B7DBF97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東縣政府建設處</w:t>
            </w:r>
          </w:p>
          <w:p w14:paraId="122BD502" w14:textId="77777777" w:rsidR="00082FD0" w:rsidRP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東縣卑南鄉公所</w:t>
            </w:r>
          </w:p>
          <w:p w14:paraId="36975657" w14:textId="77777777" w:rsidR="00082FD0" w:rsidRDefault="00082FD0" w:rsidP="00082FD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proofErr w:type="gramStart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082FD0">
              <w:rPr>
                <w:rFonts w:ascii="標楷體" w:eastAsia="標楷體" w:hAnsi="標楷體" w:hint="eastAsia"/>
                <w:sz w:val="28"/>
                <w:szCs w:val="28"/>
              </w:rPr>
              <w:t>東農田水利會</w:t>
            </w:r>
          </w:p>
        </w:tc>
      </w:tr>
    </w:tbl>
    <w:p w14:paraId="427B51DE" w14:textId="323BDCC0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B505F6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14:paraId="1000868C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7F36549D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62590E3C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0919FD77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EFB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D4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C0DC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4E4EE2A0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741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華源(太麻里鄉)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FA4A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DB17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40.0</w:t>
            </w:r>
          </w:p>
        </w:tc>
      </w:tr>
      <w:tr w:rsidR="00000000" w14:paraId="54E6F9CB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E24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新興國小(金峰鄉)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D8294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737D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35.5</w:t>
            </w:r>
          </w:p>
        </w:tc>
      </w:tr>
      <w:tr w:rsidR="00000000" w14:paraId="1E9D8BAA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9B8C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知本(卑南鄉)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2E144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8DD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19.0</w:t>
            </w:r>
          </w:p>
        </w:tc>
      </w:tr>
      <w:tr w:rsidR="00000000" w14:paraId="0ED88F8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CC4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941E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C1D2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26.0</w:t>
            </w:r>
          </w:p>
        </w:tc>
      </w:tr>
      <w:tr w:rsidR="00000000" w14:paraId="1598ED6B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219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5482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CDC3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17.0</w:t>
            </w:r>
          </w:p>
        </w:tc>
      </w:tr>
    </w:tbl>
    <w:p w14:paraId="26D8E7A2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282E5FD1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E9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AB21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375C53A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E916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C999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平均風力3級，陣風5級</w:t>
            </w:r>
          </w:p>
        </w:tc>
      </w:tr>
      <w:tr w:rsidR="00000000" w14:paraId="10BD3D36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F5F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101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平均風力6級，陣風9級</w:t>
            </w:r>
          </w:p>
        </w:tc>
      </w:tr>
      <w:tr w:rsidR="00000000" w14:paraId="5C42E708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1FCC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7F6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</w:t>
            </w:r>
          </w:p>
        </w:tc>
      </w:tr>
    </w:tbl>
    <w:p w14:paraId="0DA61798" w14:textId="77777777"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37E3D51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641" w:type="pct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687"/>
        <w:gridCol w:w="1880"/>
        <w:gridCol w:w="3780"/>
      </w:tblGrid>
      <w:tr w:rsidR="00000000" w14:paraId="1A016B8B" w14:textId="77777777" w:rsidTr="00B505F6">
        <w:trPr>
          <w:trHeight w:val="490"/>
          <w:tblHeader/>
        </w:trPr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E05F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7081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F67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A810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0044CD8A" w14:textId="77777777" w:rsidTr="00B505F6">
        <w:trPr>
          <w:trHeight w:val="490"/>
        </w:trPr>
        <w:tc>
          <w:tcPr>
            <w:tcW w:w="8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858B" w14:textId="3D907C14" w:rsidR="00000000" w:rsidRDefault="00000000">
            <w:pPr>
              <w:spacing w:line="320" w:lineRule="atLeast"/>
              <w:ind w:left="857" w:hanging="857"/>
              <w:jc w:val="center"/>
            </w:pP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FB5D" w14:textId="77777777" w:rsidR="00000000" w:rsidRDefault="00000000"/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FEC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9931" w14:textId="5DC76A93" w:rsidR="00000000" w:rsidRDefault="00B505F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水位正常</w:t>
            </w:r>
          </w:p>
        </w:tc>
      </w:tr>
    </w:tbl>
    <w:p w14:paraId="2BD4E38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12A807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3AD199AB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E88A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567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1CE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447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E5B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BD9A584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0153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9C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A1E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B18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628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57AF95F0" w14:textId="7AA55A2A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  <w:r w:rsidR="00B505F6">
        <w:rPr>
          <w:rFonts w:ascii="標楷體" w:eastAsia="標楷體" w:hAnsi="標楷體" w:hint="eastAsia"/>
          <w:sz w:val="28"/>
          <w:szCs w:val="28"/>
        </w:rPr>
        <w:t>無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1C1BD48F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01F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0CA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DA1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E28E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E90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79F32A22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63BD3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2119A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A15D7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4AB3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ACE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034B1C2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857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17A31D44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682C2" w14:textId="77777777" w:rsidR="00000000" w:rsidRDefault="00000000"/>
        </w:tc>
      </w:tr>
    </w:tbl>
    <w:p w14:paraId="3C7D87F9" w14:textId="061056A5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6D61D65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38CA8815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8B0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5AA3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0FEA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F60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74A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0D17282C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5DC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目前無受損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68F2" w14:textId="77777777" w:rsidR="00000000" w:rsidRDefault="00000000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106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96C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891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6CCF1D" w14:textId="13C92A6A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  <w:r w:rsidR="00082FD0" w:rsidRPr="00082FD0">
        <w:rPr>
          <w:rFonts w:ascii="標楷體" w:eastAsia="標楷體" w:hAnsi="標楷體" w:hint="eastAsia"/>
          <w:sz w:val="28"/>
          <w:szCs w:val="28"/>
        </w:rPr>
        <w:t>無</w:t>
      </w:r>
    </w:p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373"/>
        <w:gridCol w:w="1373"/>
        <w:gridCol w:w="1374"/>
        <w:gridCol w:w="1375"/>
        <w:gridCol w:w="1375"/>
        <w:gridCol w:w="1375"/>
      </w:tblGrid>
      <w:tr w:rsidR="00000000" w14:paraId="1D2D9191" w14:textId="77777777" w:rsidTr="00B505F6"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6F0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B4D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612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0A0A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38B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E5A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2C7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0B5F04A" w14:textId="77777777" w:rsidTr="00B505F6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8B680" w14:textId="77777777" w:rsidR="00000000" w:rsidRDefault="00000000"/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0E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F1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06A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E3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4A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69B5" w14:textId="77777777" w:rsidR="00000000" w:rsidRPr="00B505F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505F6">
              <w:rPr>
                <w:rFonts w:ascii="標楷體" w:eastAsia="標楷體" w:hAnsi="標楷體"/>
              </w:rPr>
              <w:t xml:space="preserve">無水利設施受損 </w:t>
            </w:r>
          </w:p>
        </w:tc>
      </w:tr>
    </w:tbl>
    <w:p w14:paraId="7ED00ECF" w14:textId="77777777" w:rsidR="00000000" w:rsidRDefault="00000000">
      <w:pPr>
        <w:spacing w:line="320" w:lineRule="atLeast"/>
        <w:jc w:val="both"/>
      </w:pPr>
      <w:r>
        <w:t> </w:t>
      </w:r>
    </w:p>
    <w:p w14:paraId="0ED529C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22B0F756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7A0D669F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D24F451" w14:textId="77777777" w:rsidR="00082FD0" w:rsidRDefault="00000000" w:rsidP="00082FD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082FD0">
        <w:rPr>
          <w:rFonts w:ascii="標楷體" w:eastAsia="標楷體" w:hAnsi="標楷體" w:hint="eastAsia"/>
          <w:sz w:val="28"/>
          <w:szCs w:val="28"/>
        </w:rPr>
        <w:t>本縣災害應變中心於112年09月02日14時00分一級開設</w:t>
      </w:r>
    </w:p>
    <w:p w14:paraId="1F80FFDE" w14:textId="1DBDB4E6" w:rsidR="00082FD0" w:rsidRDefault="00000000" w:rsidP="00082FD0">
      <w:pPr>
        <w:spacing w:line="320" w:lineRule="atLeast"/>
        <w:ind w:firstLine="420"/>
        <w:jc w:val="both"/>
      </w:pPr>
      <w:r>
        <w:t> 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82FD0" w14:paraId="66B8DC62" w14:textId="77777777" w:rsidTr="00082FD0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4AA56" w14:textId="77777777" w:rsidR="00082FD0" w:rsidRDefault="00082FD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7720C" w14:textId="77777777" w:rsidR="00082FD0" w:rsidRDefault="00082FD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F0CD" w14:textId="77777777" w:rsidR="00082FD0" w:rsidRDefault="00082FD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82FD0" w14:paraId="47FDE66C" w14:textId="77777777" w:rsidTr="00082FD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9BBA" w14:textId="77777777" w:rsidR="00082FD0" w:rsidRDefault="00082FD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1FA3" w14:textId="09595F41" w:rsidR="00082FD0" w:rsidRDefault="00082FD0">
            <w:pPr>
              <w:spacing w:line="32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8DBA" w14:textId="4BCC6529" w:rsidR="00082FD0" w:rsidRDefault="00082FD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台東市、東河鄉、大武鄉、海端鄉、金峰鄉、太麻里鄉</w:t>
            </w:r>
            <w:r>
              <w:rPr>
                <w:rFonts w:ascii="標楷體" w:eastAsia="標楷體" w:hAnsi="標楷體" w:hint="eastAsia"/>
              </w:rPr>
              <w:t>、關山鎮</w:t>
            </w:r>
          </w:p>
        </w:tc>
      </w:tr>
      <w:tr w:rsidR="00082FD0" w14:paraId="484BBA40" w14:textId="77777777" w:rsidTr="00082FD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8C81" w14:textId="77777777" w:rsidR="00082FD0" w:rsidRDefault="00082FD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437CF" w14:textId="77777777" w:rsidR="00082FD0" w:rsidRDefault="00082FD0">
            <w:pPr>
              <w:spacing w:line="320" w:lineRule="atLeast"/>
              <w:jc w:val="center"/>
            </w:pPr>
            <w:r>
              <w:t>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DF48" w14:textId="77777777" w:rsidR="00082FD0" w:rsidRDefault="00082FD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成功鎮、鹿野鄉、卑南鄉、池上鄉、長濱鄉、綠島鄉、延平鄉、達仁鄉</w:t>
            </w:r>
          </w:p>
        </w:tc>
      </w:tr>
      <w:tr w:rsidR="00082FD0" w14:paraId="4903FE09" w14:textId="77777777" w:rsidTr="00082FD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1513" w14:textId="77777777" w:rsidR="00082FD0" w:rsidRDefault="00082FD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3B763BFD" w14:textId="77777777" w:rsidR="00082FD0" w:rsidRDefault="00082FD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83AB1" w14:textId="77777777" w:rsidR="00082FD0" w:rsidRDefault="00082FD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73B8" w14:textId="77777777" w:rsidR="00082FD0" w:rsidRDefault="00082FD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</w:tr>
    </w:tbl>
    <w:p w14:paraId="33057B34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559680B" w14:textId="77777777" w:rsidR="00B505F6" w:rsidRDefault="00000000" w:rsidP="00B505F6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t> </w:t>
      </w:r>
      <w:r w:rsidR="00B505F6">
        <w:rPr>
          <w:rFonts w:ascii="標楷體" w:eastAsia="標楷體" w:hAnsi="標楷體" w:hint="eastAsia"/>
          <w:sz w:val="28"/>
          <w:szCs w:val="28"/>
        </w:rPr>
        <w:t>劃定本縣「向陽山區至大武山區（含中央山脈及海岸山脈）、各河川溪流水域（含土石流潛勢溪流）、長濱至大武暨蘭嶼、綠島沿線之海岸、漁港」為限制或禁止人民進入或命其離去之範圍。</w:t>
      </w:r>
    </w:p>
    <w:p w14:paraId="5F627E08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22F0B4DA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D65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43B6DF57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6E29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9B1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975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0436FAC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D4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D46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8CD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14:paraId="23BEA73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B879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7C53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83F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CB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692359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0FF1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95C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6F7DC813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6508E1DE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16A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04CBB2D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FB2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056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22C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5F41CC6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A7E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610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3F2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14:paraId="24A0E538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B1C1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429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B1A2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684C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49C736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52C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2C0C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4C6C62D2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7517E408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30940DA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3ADBA3B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17258A17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16744D3C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2F549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30CC321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A985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218B33E9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AB53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904F4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0A3EB64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E4A1C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3820430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B7A88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8C80B3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64341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82E7B9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49378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25E371A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0AB67018" w14:textId="77777777" w:rsidTr="00082FD0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53463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BA6EC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3868E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1CA6D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38EF1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399B5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099C8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C759F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D3078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D5E6F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099E4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09741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82FD0" w14:paraId="27B925FB" w14:textId="77777777" w:rsidTr="00082FD0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23F853" w14:textId="77777777" w:rsidR="00082FD0" w:rsidRDefault="00082FD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82FD0">
              <w:rPr>
                <w:rFonts w:ascii="標楷體" w:eastAsia="標楷體" w:hAnsi="標楷體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FA4212" w14:textId="77777777" w:rsidR="00082FD0" w:rsidRDefault="00082FD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082FD0">
              <w:rPr>
                <w:rFonts w:ascii="標楷體" w:eastAsia="標楷體" w:hAnsi="標楷體"/>
              </w:rPr>
              <w:t>347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C5960A" w14:textId="77777777" w:rsidR="00082FD0" w:rsidRDefault="00082FD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082FD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19CDE2" w14:textId="77777777" w:rsidR="00082FD0" w:rsidRDefault="00082FD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082FD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FC1F30" w14:textId="77777777" w:rsidR="00082FD0" w:rsidRDefault="00082FD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082FD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451DE0" w14:textId="77777777" w:rsidR="00082FD0" w:rsidRDefault="00082FD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082FD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97DF03" w14:textId="77777777" w:rsidR="00082FD0" w:rsidRDefault="00082FD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082FD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533841" w14:textId="77777777" w:rsidR="00082FD0" w:rsidRDefault="00082FD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082FD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A1D801" w14:textId="77777777" w:rsidR="00082FD0" w:rsidRDefault="00082FD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082FD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E84F4A" w14:textId="77777777" w:rsidR="00082FD0" w:rsidRDefault="00082FD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082FD0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36BB2C" w14:textId="77777777" w:rsidR="00082FD0" w:rsidRDefault="00082FD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082FD0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B77966" w14:textId="77777777" w:rsidR="00082FD0" w:rsidRDefault="00082FD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082FD0">
              <w:rPr>
                <w:rFonts w:ascii="標楷體" w:eastAsia="標楷體" w:hAnsi="標楷體"/>
              </w:rPr>
              <w:t>0</w:t>
            </w:r>
          </w:p>
        </w:tc>
      </w:tr>
    </w:tbl>
    <w:p w14:paraId="04DCBFD9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11D20D32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8A78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F824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3D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597D665A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0457" w14:textId="285AEB84" w:rsidR="00000000" w:rsidRDefault="00000000">
            <w:r>
              <w:t xml:space="preserve">21 </w:t>
            </w:r>
            <w:r w:rsidR="00035AB5">
              <w:rPr>
                <w:rFonts w:hint="eastAsia"/>
              </w:rPr>
              <w:t>時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5AE4" w14:textId="77777777" w:rsidR="00000000" w:rsidRDefault="00000000">
            <w:pPr>
              <w:spacing w:line="320" w:lineRule="atLeast"/>
              <w:jc w:val="center"/>
            </w:pPr>
            <w:r>
              <w:t>2(</w:t>
            </w:r>
            <w:r>
              <w:t>新港漁港製冰廠大樓</w:t>
            </w:r>
            <w:r>
              <w:t xml:space="preserve">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BC2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3ACC6A28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lastRenderedPageBreak/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322DD64" w14:textId="2AC8E495" w:rsidR="00082FD0" w:rsidRDefault="00000000" w:rsidP="00082FD0">
      <w:pPr>
        <w:pStyle w:val="af5"/>
        <w:spacing w:line="0" w:lineRule="atLeas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>
        <w:t> </w:t>
      </w:r>
      <w:r w:rsidR="00082FD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082FD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82FD0">
        <w:rPr>
          <w:rFonts w:ascii="標楷體" w:eastAsia="標楷體" w:hAnsi="標楷體" w:hint="eastAsia"/>
          <w:sz w:val="28"/>
          <w:szCs w:val="28"/>
        </w:rPr>
        <w:t>)</w:t>
      </w:r>
      <w:r w:rsidR="00035AB5" w:rsidRPr="00035AB5">
        <w:rPr>
          <w:rFonts w:hint="eastAsia"/>
        </w:rPr>
        <w:t xml:space="preserve"> </w:t>
      </w:r>
      <w:r w:rsidR="00035AB5" w:rsidRPr="00035AB5">
        <w:rPr>
          <w:rFonts w:ascii="標楷體" w:eastAsia="標楷體" w:hAnsi="標楷體" w:hint="eastAsia"/>
          <w:sz w:val="28"/>
          <w:szCs w:val="28"/>
        </w:rPr>
        <w:t>本縣明（9/3）日停止上班、停止上課。</w:t>
      </w:r>
    </w:p>
    <w:p w14:paraId="2B9411FC" w14:textId="3AB8FD72" w:rsidR="00082FD0" w:rsidRDefault="00082FD0" w:rsidP="00082FD0">
      <w:pPr>
        <w:pStyle w:val="af5"/>
        <w:spacing w:line="0" w:lineRule="atLeast"/>
        <w:ind w:leftChars="250" w:left="600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035AB5" w:rsidRPr="00035AB5">
        <w:rPr>
          <w:rFonts w:hint="eastAsia"/>
        </w:rPr>
        <w:t xml:space="preserve"> </w:t>
      </w:r>
      <w:r w:rsidR="00035AB5" w:rsidRPr="00035AB5">
        <w:rPr>
          <w:rFonts w:ascii="標楷體" w:eastAsia="標楷體" w:hAnsi="標楷體" w:hint="eastAsia"/>
          <w:sz w:val="28"/>
          <w:szCs w:val="28"/>
        </w:rPr>
        <w:t>考選部公告112年公務人員特種考試原住民族考試第二天考試由原9月3日(星期日)延期至9月4日(星期一)舉行。</w:t>
      </w:r>
    </w:p>
    <w:p w14:paraId="6460A73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6AFCB97B" w14:textId="77777777" w:rsidR="00000000" w:rsidRDefault="00000000">
      <w:pPr>
        <w:spacing w:before="180" w:after="180" w:line="320" w:lineRule="atLeast"/>
        <w:ind w:firstLine="538"/>
        <w:jc w:val="both"/>
      </w:pPr>
      <w:bookmarkStart w:id="2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2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9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228"/>
        <w:gridCol w:w="1069"/>
        <w:gridCol w:w="1069"/>
        <w:gridCol w:w="1069"/>
        <w:gridCol w:w="1070"/>
        <w:gridCol w:w="1441"/>
        <w:gridCol w:w="1417"/>
      </w:tblGrid>
      <w:tr w:rsidR="00000000" w14:paraId="7B978B91" w14:textId="77777777" w:rsidTr="00F55D9D">
        <w:trPr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9A38" w14:textId="77777777" w:rsidR="00000000" w:rsidRDefault="00000000">
            <w:pPr>
              <w:spacing w:before="180" w:after="180" w:line="320" w:lineRule="atLeast"/>
              <w:jc w:val="center"/>
            </w:pPr>
            <w:bookmarkStart w:id="3" w:name="_Hlk144581539"/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3DF8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350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210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0020F3D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69E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0E43D67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FAF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E63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113C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1B6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55D9D" w:rsidRPr="00B505F6" w14:paraId="0C63B5D7" w14:textId="77777777" w:rsidTr="00F55D9D">
        <w:tblPrEx>
          <w:jc w:val="left"/>
        </w:tblPrEx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1F35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0C4C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9A80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E0A3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B9A4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75AF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A1C1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2128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F6A3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洗腎患者1人及陪同家屬1人</w:t>
            </w:r>
          </w:p>
        </w:tc>
      </w:tr>
      <w:tr w:rsidR="00F55D9D" w:rsidRPr="00B505F6" w14:paraId="3794D947" w14:textId="77777777" w:rsidTr="00F55D9D">
        <w:tblPrEx>
          <w:jc w:val="left"/>
        </w:tblPrEx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BEC9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2261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忠勇村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924C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忠勇村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23C9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9603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C036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D0A1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7173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長照機構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3520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55D9D" w:rsidRPr="00B505F6" w14:paraId="73D39590" w14:textId="77777777" w:rsidTr="00F55D9D">
        <w:tblPrEx>
          <w:jc w:val="left"/>
        </w:tblPrEx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4BA9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8E8D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903E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45E9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B5A4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1EB0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EBB4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9/3 08:00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20D9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F11C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55D9D" w:rsidRPr="00B505F6" w14:paraId="2C38E7C9" w14:textId="77777777" w:rsidTr="00F55D9D">
        <w:tblPrEx>
          <w:jc w:val="left"/>
        </w:tblPrEx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9FB7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E042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2756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DBC2D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CB16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E26F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9531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9/3 10:00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3C9C" w14:textId="77777777" w:rsidR="00F55D9D" w:rsidRPr="00B505F6" w:rsidRDefault="00F55D9D" w:rsidP="00AD6A91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C1545" w14:textId="77777777" w:rsidR="00F55D9D" w:rsidRPr="00B505F6" w:rsidRDefault="00F55D9D" w:rsidP="00AD6A91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（其中收容121位、依親172位，含旅館住宿）</w:t>
            </w:r>
          </w:p>
        </w:tc>
      </w:tr>
    </w:tbl>
    <w:bookmarkEnd w:id="3"/>
    <w:p w14:paraId="2D871449" w14:textId="2F6A56EB" w:rsidR="00000000" w:rsidRDefault="00000000" w:rsidP="00B505F6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96"/>
        <w:gridCol w:w="1158"/>
        <w:gridCol w:w="894"/>
        <w:gridCol w:w="22"/>
        <w:gridCol w:w="449"/>
        <w:gridCol w:w="468"/>
        <w:gridCol w:w="12"/>
        <w:gridCol w:w="456"/>
        <w:gridCol w:w="12"/>
        <w:gridCol w:w="456"/>
        <w:gridCol w:w="468"/>
        <w:gridCol w:w="12"/>
        <w:gridCol w:w="456"/>
        <w:gridCol w:w="6"/>
        <w:gridCol w:w="462"/>
        <w:gridCol w:w="511"/>
        <w:gridCol w:w="476"/>
        <w:gridCol w:w="468"/>
        <w:gridCol w:w="520"/>
        <w:gridCol w:w="1911"/>
      </w:tblGrid>
      <w:tr w:rsidR="00035AB5" w14:paraId="7AB6C753" w14:textId="77777777" w:rsidTr="00035AB5">
        <w:trPr>
          <w:trHeight w:val="1972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EE9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E7ED" w14:textId="77777777"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35305D78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8D6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3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4575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7E97FFD8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283EEDB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57A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4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B1D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B7E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683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契約或連結民間團體持續供應熱食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035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F5C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35AB5" w14:paraId="4C276BD2" w14:textId="77777777" w:rsidTr="00035AB5"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9BE0B" w14:textId="77777777" w:rsidR="00000000" w:rsidRDefault="00000000"/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C8322" w14:textId="77777777" w:rsidR="00000000" w:rsidRDefault="00000000"/>
        </w:tc>
        <w:tc>
          <w:tcPr>
            <w:tcW w:w="11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FB912" w14:textId="77777777" w:rsidR="00000000" w:rsidRDefault="00000000"/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BBF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813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36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3BF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833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2D0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FFE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0E3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125A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511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87AC0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9EA79" w14:textId="77777777" w:rsidR="00000000" w:rsidRDefault="00000000"/>
        </w:tc>
        <w:tc>
          <w:tcPr>
            <w:tcW w:w="191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4EBD0" w14:textId="77777777" w:rsidR="00000000" w:rsidRDefault="00000000"/>
        </w:tc>
      </w:tr>
      <w:tr w:rsidR="00035AB5" w14:paraId="61268E60" w14:textId="77777777" w:rsidTr="00035AB5">
        <w:trPr>
          <w:trHeight w:val="1972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18CD" w14:textId="2F4E55C0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485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654A" w14:textId="6B3C70B4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長濱鄉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8241" w14:textId="08BC8DF3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財團法人伊</w:t>
            </w:r>
            <w:proofErr w:type="gramStart"/>
            <w:r w:rsidRPr="007A73E6">
              <w:rPr>
                <w:rFonts w:hint="eastAsia"/>
              </w:rPr>
              <w:t>甸</w:t>
            </w:r>
            <w:proofErr w:type="gramEnd"/>
            <w:r w:rsidRPr="007A73E6">
              <w:rPr>
                <w:rFonts w:hint="eastAsia"/>
              </w:rPr>
              <w:t>社會福利基金會附設</w:t>
            </w:r>
            <w:proofErr w:type="gramStart"/>
            <w:r w:rsidRPr="007A73E6">
              <w:rPr>
                <w:rFonts w:hint="eastAsia"/>
              </w:rPr>
              <w:t>臺</w:t>
            </w:r>
            <w:proofErr w:type="gramEnd"/>
            <w:r w:rsidRPr="007A73E6">
              <w:rPr>
                <w:rFonts w:hint="eastAsia"/>
              </w:rPr>
              <w:t>東縣私立</w:t>
            </w:r>
            <w:proofErr w:type="gramStart"/>
            <w:r w:rsidRPr="007A73E6">
              <w:rPr>
                <w:rFonts w:hint="eastAsia"/>
              </w:rPr>
              <w:t>耆</w:t>
            </w:r>
            <w:proofErr w:type="gramEnd"/>
            <w:r w:rsidRPr="007A73E6">
              <w:rPr>
                <w:rFonts w:hint="eastAsia"/>
              </w:rPr>
              <w:t>福合式服務類長期照顧服務機構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BE31" w14:textId="449E4DC3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20:00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C1620D" w14:textId="77777777" w:rsidR="00035AB5" w:rsidRDefault="00035AB5" w:rsidP="00035AB5">
            <w:pPr>
              <w:spacing w:before="180" w:after="180" w:line="320" w:lineRule="atLeast"/>
              <w:jc w:val="center"/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5720" w14:textId="36AD3F1B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1</w: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AA4EA1" w14:textId="2F5ACCFF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972E77" w14:textId="4977127A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32A5" w14:textId="780CA2DD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1</w:t>
            </w: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49AC3F" w14:textId="17D1029B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0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61D196" w14:textId="485DB3C6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1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6C7D" w14:textId="4DC68700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3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F8E122" w14:textId="5435DD32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3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BA95" w14:textId="18A41D46" w:rsidR="00035AB5" w:rsidRDefault="00035AB5" w:rsidP="00035AB5">
            <w:pPr>
              <w:spacing w:before="180" w:after="180" w:line="320" w:lineRule="atLeast"/>
              <w:jc w:val="center"/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A8D2" w14:textId="62F2479D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A73E6">
              <w:rPr>
                <w:rFonts w:hint="eastAsia"/>
              </w:rPr>
              <w:t>馬秀燕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26BB" w14:textId="2C6FAE28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0978871427</w:t>
            </w:r>
          </w:p>
        </w:tc>
      </w:tr>
      <w:tr w:rsidR="00035AB5" w14:paraId="7BF11FF5" w14:textId="77777777" w:rsidTr="00035AB5">
        <w:trPr>
          <w:trHeight w:val="1972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1939" w14:textId="0F3C8526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32E1">
              <w:rPr>
                <w:rFonts w:hint="eastAsia"/>
              </w:rPr>
              <w:t>483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7CFE" w14:textId="1FCCC4D2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32E1">
              <w:rPr>
                <w:rFonts w:hint="eastAsia"/>
              </w:rPr>
              <w:t>台東市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FB95" w14:textId="0DA760BE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32E1">
              <w:rPr>
                <w:rFonts w:hint="eastAsia"/>
              </w:rPr>
              <w:t>馬蘭榮家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5EC5" w14:textId="69371231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32E1">
              <w:rPr>
                <w:rFonts w:hint="eastAsia"/>
              </w:rPr>
              <w:t>18:00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4A64A9" w14:textId="77777777" w:rsidR="00035AB5" w:rsidRDefault="00035AB5" w:rsidP="00035AB5">
            <w:pPr>
              <w:spacing w:before="180" w:after="180" w:line="320" w:lineRule="atLeast"/>
              <w:jc w:val="center"/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90F8" w14:textId="5843D792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32E1">
              <w:rPr>
                <w:rFonts w:hint="eastAsia"/>
              </w:rPr>
              <w:t>2</w: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3A514F" w14:textId="3DB1D2A8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32E1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4E2E06" w14:textId="69EB4FF8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32E1">
              <w:rPr>
                <w:rFonts w:hint="eastAsia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6C6D" w14:textId="0367CE3D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32E1">
              <w:rPr>
                <w:rFonts w:hint="eastAsia"/>
              </w:rPr>
              <w:t>2</w:t>
            </w: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74800B" w14:textId="405FB847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32E1">
              <w:rPr>
                <w:rFonts w:hint="eastAsia"/>
              </w:rPr>
              <w:t>0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60F5F2" w14:textId="332D4586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32E1">
              <w:rPr>
                <w:rFonts w:hint="eastAsia"/>
              </w:rPr>
              <w:t>2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177B" w14:textId="68029276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39D054" w14:textId="77777777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1016" w14:textId="77777777" w:rsidR="00035AB5" w:rsidRDefault="00035AB5" w:rsidP="00035AB5">
            <w:pPr>
              <w:spacing w:before="180" w:after="180" w:line="320" w:lineRule="atLeast"/>
              <w:jc w:val="center"/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1993" w14:textId="04823BED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32E1">
              <w:rPr>
                <w:rFonts w:hint="eastAsia"/>
              </w:rPr>
              <w:t>馬蘭榮家值勤官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9E05D" w14:textId="0E769DF2" w:rsidR="00035AB5" w:rsidRDefault="00035AB5" w:rsidP="00035AB5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35AB5">
              <w:rPr>
                <w:rFonts w:ascii="標楷體" w:eastAsia="標楷體" w:hAnsi="標楷體"/>
                <w:sz w:val="28"/>
                <w:szCs w:val="28"/>
              </w:rPr>
              <w:t>0911225824</w:t>
            </w:r>
          </w:p>
        </w:tc>
      </w:tr>
      <w:tr w:rsidR="00035AB5" w14:paraId="4CFB7FAA" w14:textId="77777777" w:rsidTr="00035AB5">
        <w:trPr>
          <w:trHeight w:val="1972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AEB8" w14:textId="44F19C3F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484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C423" w14:textId="2822A37A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5F4A" w14:textId="4270DFAF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桃源村活動中心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0888" w14:textId="7F422120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044F89" w14:textId="77777777" w:rsidR="00035AB5" w:rsidRDefault="00035AB5" w:rsidP="00035AB5">
            <w:pPr>
              <w:spacing w:before="180" w:after="180" w:line="320" w:lineRule="atLeast"/>
              <w:jc w:val="center"/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0F16" w14:textId="26FDBFB0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EEDE03" w14:textId="6FAF8E8A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494B64" w14:textId="3CFC288A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BC59" w14:textId="30ABF8E5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738D0F" w14:textId="50783CF6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F3D535" w14:textId="2FC7860E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77C0" w14:textId="146E9504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0EE9F1" w14:textId="71576A54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DD48" w14:textId="5D820537" w:rsidR="00035AB5" w:rsidRDefault="00035AB5" w:rsidP="00035AB5">
            <w:pPr>
              <w:spacing w:before="180" w:after="180" w:line="320" w:lineRule="atLeast"/>
              <w:jc w:val="center"/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1FDF" w14:textId="41971B57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8CA6" w14:textId="5D00B823" w:rsidR="00035AB5" w:rsidRDefault="00035AB5" w:rsidP="00035AB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</w:tbl>
    <w:p w14:paraId="74CAADAF" w14:textId="4963DF88" w:rsidR="00000000" w:rsidRDefault="00000000" w:rsidP="00035AB5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1E760152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632F9964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D6C40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E955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E60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4FA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24A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4F24CD45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8E2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全縣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85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9B9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3A2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EFB20" w14:textId="77777777" w:rsidR="00000000" w:rsidRDefault="00000000"/>
        </w:tc>
      </w:tr>
      <w:tr w:rsidR="00000000" w14:paraId="61176909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3B7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83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467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E16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F42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298974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7B8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19EA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0D2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0434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2ED6" w14:textId="77777777" w:rsidR="00000000" w:rsidRDefault="00000000"/>
        </w:tc>
      </w:tr>
    </w:tbl>
    <w:p w14:paraId="578B0C71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0C693B12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8"/>
        <w:gridCol w:w="28"/>
        <w:gridCol w:w="1394"/>
        <w:gridCol w:w="1740"/>
        <w:gridCol w:w="1994"/>
        <w:gridCol w:w="2100"/>
        <w:gridCol w:w="70"/>
      </w:tblGrid>
      <w:tr w:rsidR="00000000" w14:paraId="0DF90BFA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EA3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302547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5D01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2E1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E86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3103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1112815A" w14:textId="77777777" w:rsidR="00000000" w:rsidRDefault="00000000">
            <w:r>
              <w:t> </w:t>
            </w:r>
          </w:p>
        </w:tc>
      </w:tr>
      <w:tr w:rsidR="00000000" w14:paraId="4B74073F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D24B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C22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DA3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4DB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483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目前供電正常。</w:t>
            </w:r>
          </w:p>
        </w:tc>
        <w:tc>
          <w:tcPr>
            <w:tcW w:w="30" w:type="dxa"/>
            <w:vAlign w:val="center"/>
            <w:hideMark/>
          </w:tcPr>
          <w:p w14:paraId="1A690F13" w14:textId="77777777" w:rsidR="00000000" w:rsidRDefault="00000000"/>
        </w:tc>
      </w:tr>
      <w:tr w:rsidR="00000000" w14:paraId="5930FC4A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D05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31B8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E5C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29A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0E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30" w:type="dxa"/>
            <w:vAlign w:val="center"/>
            <w:hideMark/>
          </w:tcPr>
          <w:p w14:paraId="3E8D98F0" w14:textId="77777777" w:rsidR="00000000" w:rsidRDefault="00000000"/>
        </w:tc>
      </w:tr>
      <w:tr w:rsidR="00000000" w14:paraId="051CA8F2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793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57C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9E4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79B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067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30" w:type="dxa"/>
            <w:vAlign w:val="center"/>
            <w:hideMark/>
          </w:tcPr>
          <w:p w14:paraId="41D0DF8B" w14:textId="77777777" w:rsidR="00000000" w:rsidRDefault="00000000"/>
        </w:tc>
      </w:tr>
      <w:tr w:rsidR="00000000" w14:paraId="42F85227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10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46A3F3A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CB9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C769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041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285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30" w:type="dxa"/>
            <w:vAlign w:val="center"/>
            <w:hideMark/>
          </w:tcPr>
          <w:p w14:paraId="3A289C13" w14:textId="77777777" w:rsidR="00000000" w:rsidRDefault="00000000"/>
        </w:tc>
      </w:tr>
      <w:tr w:rsidR="00000000" w14:paraId="1145DBE2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4B7486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14:paraId="5055B8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0390E3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686AC3D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62E74A9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5E268ED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084319E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364F54" w14:textId="77777777">
        <w:trPr>
          <w:jc w:val="center"/>
        </w:trPr>
        <w:tc>
          <w:tcPr>
            <w:tcW w:w="30" w:type="dxa"/>
            <w:vAlign w:val="center"/>
            <w:hideMark/>
          </w:tcPr>
          <w:p w14:paraId="401137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6F8E17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3931618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3676ACB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01CDB9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4C5E0A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4EBDE6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6631FBF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269B2DB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8E0EAE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5B459B06" w14:textId="77777777" w:rsidR="00035AB5" w:rsidRPr="00035AB5" w:rsidRDefault="00035AB5" w:rsidP="00035AB5">
      <w:pPr>
        <w:spacing w:line="320" w:lineRule="atLeast"/>
        <w:ind w:leftChars="236" w:left="566"/>
        <w:rPr>
          <w:rFonts w:ascii="標楷體" w:eastAsia="標楷體" w:hAnsi="標楷體" w:hint="eastAsia"/>
          <w:sz w:val="28"/>
          <w:szCs w:val="28"/>
        </w:rPr>
      </w:pPr>
      <w:r w:rsidRPr="00035AB5">
        <w:rPr>
          <w:rFonts w:ascii="標楷體" w:eastAsia="標楷體" w:hAnsi="標楷體" w:hint="eastAsia"/>
          <w:sz w:val="28"/>
          <w:szCs w:val="28"/>
        </w:rPr>
        <w:t>1.鐵路運輸 : 東部幹線、南</w:t>
      </w:r>
      <w:proofErr w:type="gramStart"/>
      <w:r w:rsidRPr="00035AB5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035AB5">
        <w:rPr>
          <w:rFonts w:ascii="標楷體" w:eastAsia="標楷體" w:hAnsi="標楷體" w:hint="eastAsia"/>
          <w:sz w:val="28"/>
          <w:szCs w:val="28"/>
        </w:rPr>
        <w:t>新左營-台東站9月3日未公告。</w:t>
      </w:r>
    </w:p>
    <w:p w14:paraId="185925BA" w14:textId="77777777" w:rsidR="00035AB5" w:rsidRPr="00035AB5" w:rsidRDefault="00035AB5" w:rsidP="00035AB5">
      <w:pPr>
        <w:spacing w:line="320" w:lineRule="atLeast"/>
        <w:ind w:leftChars="236" w:left="566"/>
        <w:rPr>
          <w:rFonts w:ascii="標楷體" w:eastAsia="標楷體" w:hAnsi="標楷體" w:hint="eastAsia"/>
          <w:sz w:val="28"/>
          <w:szCs w:val="28"/>
        </w:rPr>
      </w:pPr>
      <w:r w:rsidRPr="00035AB5">
        <w:rPr>
          <w:rFonts w:ascii="標楷體" w:eastAsia="標楷體" w:hAnsi="標楷體" w:hint="eastAsia"/>
          <w:sz w:val="28"/>
          <w:szCs w:val="28"/>
        </w:rPr>
        <w:t>2.公路運輸 : 東台灣、興東、普悠</w:t>
      </w:r>
      <w:proofErr w:type="gramStart"/>
      <w:r w:rsidRPr="00035AB5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035AB5">
        <w:rPr>
          <w:rFonts w:ascii="標楷體" w:eastAsia="標楷體" w:hAnsi="標楷體" w:hint="eastAsia"/>
          <w:sz w:val="28"/>
          <w:szCs w:val="28"/>
        </w:rPr>
        <w:t>客運9月3日停駛。</w:t>
      </w:r>
    </w:p>
    <w:p w14:paraId="2F08FD4E" w14:textId="77777777" w:rsidR="00035AB5" w:rsidRPr="00035AB5" w:rsidRDefault="00035AB5" w:rsidP="00035AB5">
      <w:pPr>
        <w:spacing w:line="320" w:lineRule="atLeast"/>
        <w:ind w:leftChars="236" w:left="566"/>
        <w:rPr>
          <w:rFonts w:ascii="標楷體" w:eastAsia="標楷體" w:hAnsi="標楷體" w:hint="eastAsia"/>
          <w:sz w:val="28"/>
          <w:szCs w:val="28"/>
        </w:rPr>
      </w:pPr>
      <w:r w:rsidRPr="00035AB5">
        <w:rPr>
          <w:rFonts w:ascii="標楷體" w:eastAsia="標楷體" w:hAnsi="標楷體" w:hint="eastAsia"/>
          <w:sz w:val="28"/>
          <w:szCs w:val="28"/>
        </w:rPr>
        <w:t>3.船班運輸 : 台東-綠島及台東-蘭嶼等往返航線預計9/1-9/5日停駛。</w:t>
      </w:r>
    </w:p>
    <w:p w14:paraId="06EA5DAD" w14:textId="77777777" w:rsidR="00035AB5" w:rsidRPr="00035AB5" w:rsidRDefault="00035AB5" w:rsidP="00035AB5">
      <w:pPr>
        <w:spacing w:line="320" w:lineRule="atLeast"/>
        <w:ind w:leftChars="236" w:left="566"/>
        <w:rPr>
          <w:rFonts w:ascii="標楷體" w:eastAsia="標楷體" w:hAnsi="標楷體" w:hint="eastAsia"/>
          <w:sz w:val="28"/>
          <w:szCs w:val="28"/>
        </w:rPr>
      </w:pPr>
      <w:r w:rsidRPr="00035AB5">
        <w:rPr>
          <w:rFonts w:ascii="標楷體" w:eastAsia="標楷體" w:hAnsi="標楷體" w:hint="eastAsia"/>
          <w:sz w:val="28"/>
          <w:szCs w:val="28"/>
        </w:rPr>
        <w:t>4.航空運輸 :</w:t>
      </w:r>
    </w:p>
    <w:p w14:paraId="68185C22" w14:textId="77777777" w:rsidR="00035AB5" w:rsidRPr="00035AB5" w:rsidRDefault="00035AB5" w:rsidP="00035AB5">
      <w:pPr>
        <w:spacing w:line="320" w:lineRule="atLeast"/>
        <w:ind w:leftChars="413" w:left="991"/>
        <w:rPr>
          <w:rFonts w:ascii="標楷體" w:eastAsia="標楷體" w:hAnsi="標楷體" w:hint="eastAsia"/>
          <w:sz w:val="28"/>
          <w:szCs w:val="28"/>
        </w:rPr>
      </w:pPr>
      <w:r w:rsidRPr="00035AB5">
        <w:rPr>
          <w:rFonts w:ascii="標楷體" w:eastAsia="標楷體" w:hAnsi="標楷體" w:hint="eastAsia"/>
          <w:sz w:val="28"/>
          <w:szCs w:val="28"/>
        </w:rPr>
        <w:t>(1)台東-&gt;台北航線 : 立榮航空、華信航空9月3日全日班機取消。</w:t>
      </w:r>
    </w:p>
    <w:p w14:paraId="09937D97" w14:textId="77777777" w:rsidR="00035AB5" w:rsidRPr="00035AB5" w:rsidRDefault="00035AB5" w:rsidP="00035AB5">
      <w:pPr>
        <w:spacing w:line="320" w:lineRule="atLeast"/>
        <w:ind w:leftChars="413" w:left="991"/>
        <w:rPr>
          <w:rFonts w:ascii="標楷體" w:eastAsia="標楷體" w:hAnsi="標楷體" w:hint="eastAsia"/>
          <w:sz w:val="28"/>
          <w:szCs w:val="28"/>
        </w:rPr>
      </w:pPr>
      <w:r w:rsidRPr="00035AB5">
        <w:rPr>
          <w:rFonts w:ascii="標楷體" w:eastAsia="標楷體" w:hAnsi="標楷體" w:hint="eastAsia"/>
          <w:sz w:val="28"/>
          <w:szCs w:val="28"/>
        </w:rPr>
        <w:t>(2)台東-綠島航線 : 德安航空9月3日全日班機取消。</w:t>
      </w:r>
    </w:p>
    <w:p w14:paraId="7BEE9F83" w14:textId="77777777" w:rsidR="00035AB5" w:rsidRDefault="00035AB5" w:rsidP="00035AB5">
      <w:pPr>
        <w:spacing w:line="320" w:lineRule="atLeast"/>
        <w:ind w:leftChars="413" w:left="991"/>
        <w:rPr>
          <w:rFonts w:ascii="標楷體" w:eastAsia="標楷體" w:hAnsi="標楷體"/>
          <w:sz w:val="28"/>
          <w:szCs w:val="28"/>
        </w:rPr>
      </w:pPr>
      <w:r w:rsidRPr="00035AB5">
        <w:rPr>
          <w:rFonts w:ascii="標楷體" w:eastAsia="標楷體" w:hAnsi="標楷體" w:hint="eastAsia"/>
          <w:sz w:val="28"/>
          <w:szCs w:val="28"/>
        </w:rPr>
        <w:t>(3)台東-蘭嶼航線 : 德安航空9月3日全日班機取消。</w:t>
      </w:r>
    </w:p>
    <w:p w14:paraId="7983547F" w14:textId="5FE1FE88" w:rsidR="00000000" w:rsidRDefault="00000000" w:rsidP="00035AB5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3E4D97E1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717"/>
        <w:gridCol w:w="717"/>
        <w:gridCol w:w="717"/>
        <w:gridCol w:w="416"/>
        <w:gridCol w:w="417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19"/>
        <w:gridCol w:w="416"/>
        <w:gridCol w:w="417"/>
        <w:gridCol w:w="1211"/>
      </w:tblGrid>
      <w:tr w:rsidR="00000000" w14:paraId="219E4FDB" w14:textId="77777777" w:rsidTr="00BF593B"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B8B37" w14:textId="546D0A55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89A6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C1C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DC8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24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47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000000" w14:paraId="5360B2D9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58E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26A2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C6F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E4C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000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2D4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54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166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AB5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ADE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032F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0DD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00000" w14:paraId="545302D7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1E5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A3AC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E25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518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5B8C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D43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28DA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22E4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C42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860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982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24E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7AD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C06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E06E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B89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54B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CA3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779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BF593B" w14:paraId="6694872C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539BF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3DAA" w14:textId="2663429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5E1B" w14:textId="48FEB5F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DFE4" w14:textId="6E9751B1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FC81" w14:textId="5367DB3D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B00F" w14:textId="5252872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2F6E" w14:textId="4317D4C2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4BBB" w14:textId="0449FE6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0453" w14:textId="25B18CC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B141" w14:textId="2772CCE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4E0EF" w14:textId="2E215992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EDE3" w14:textId="5ADEECD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1F17" w14:textId="3A440400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9856" w14:textId="5E5A44FF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F30E" w14:textId="4815D20A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A5BCB" w14:textId="0827969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5064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D768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8AC6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593B" w14:paraId="47005B07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9A7E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C91C" w14:textId="3E25DD66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64" w14:textId="4DAB73B0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53C2" w14:textId="4581F46A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F15DC" w14:textId="7A2C1B4D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97B4" w14:textId="09204134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94C2" w14:textId="35720E7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58B14" w14:textId="73A24D10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53BD" w14:textId="34734A7C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A6508" w14:textId="45FD51A3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C8FC" w14:textId="53D398AE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46BB" w14:textId="75DD770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7764E" w14:textId="56092754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90A3" w14:textId="3D9C16AF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39242" w14:textId="281F122A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CE09" w14:textId="4B089FE3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03DE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811E5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6B83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593B" w14:paraId="00C09BBE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FE98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4125D" w14:textId="4790D42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7172" w14:textId="0C7C324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9FF53" w14:textId="3D29F232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4F5FB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8E6D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DC954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1A4A3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5C447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A113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221A" w14:textId="223AA080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353B" w14:textId="3B123173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06F3" w14:textId="24EA9E02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A9568" w14:textId="57BC84B2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9DCF" w14:textId="763B95ED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CDEAC" w14:textId="66F38933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4978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A6A65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6A73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593B" w14:paraId="2B256E42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72F4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FDEC" w14:textId="0D3D326C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2E860" w14:textId="7FC40CEE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9A12" w14:textId="1F31136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844D" w14:textId="218F283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836B1" w14:textId="0C06DFF6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1165" w14:textId="7ECA9E41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3B83" w14:textId="3E26252A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EF90B" w14:textId="586C985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D690" w14:textId="591D4ADF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3BA9" w14:textId="46D724E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B8B5" w14:textId="6563E3F2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BCA67" w14:textId="27E35D2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924E" w14:textId="5879125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9FB6" w14:textId="37C12211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001B" w14:textId="0744C231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D05F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F593B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87B5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F593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F143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593B" w14:paraId="0D96A936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A86D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3E41" w14:textId="38C2238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2997" w14:textId="0AD97BA3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67DC" w14:textId="5468D94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533D" w14:textId="53CE443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D2FCB" w14:textId="2B1C182C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F300C" w14:textId="6FD8252D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2A22" w14:textId="52171D5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28CE" w14:textId="5BCD8552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2121" w14:textId="76807826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D4F8" w14:textId="378FD2E0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E9BD" w14:textId="582EEEA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C19E" w14:textId="73DA875F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8896" w14:textId="218842D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D98E" w14:textId="037931B6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4E81E" w14:textId="5B74D36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7DF9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8058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25D00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593B" w14:paraId="05FAA560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638C8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D4B65" w14:textId="0AB93DD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20309" w14:textId="6C81C46E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4396" w14:textId="10271440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D118" w14:textId="1ED76D3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E6C72" w14:textId="308E4160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2C61" w14:textId="20365A9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4C58" w14:textId="5657E654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FB445" w14:textId="076A30F6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8EE9" w14:textId="610A7CDF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644D" w14:textId="10ED0EA3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A7C7" w14:textId="39727AA1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353E8" w14:textId="2BDF10C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EA96" w14:textId="27936D86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4746" w14:textId="5DDD6F3E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068B" w14:textId="130174E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8F296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5A82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E3FF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593B" w14:paraId="279DF5BA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7118A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8C7C7" w14:textId="464095D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05D2" w14:textId="36C15AF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D0BAD" w14:textId="32CB3A8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C324" w14:textId="6A65502D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0701" w14:textId="4BC1AE0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A3C7" w14:textId="603E410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8F126" w14:textId="4F514E0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E8FC" w14:textId="7D2B745A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15DD" w14:textId="071B8CAC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A51D" w14:textId="44344B42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1D9A" w14:textId="6D2A6F4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9581" w14:textId="39EE20BA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59BE" w14:textId="7F6A477F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ACBB" w14:textId="2B45E1BA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728D" w14:textId="32F16986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655C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67F7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5E00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593B" w14:paraId="1500B121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89E3C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5072" w14:textId="0E65969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E793" w14:textId="076D6716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DB28" w14:textId="4434BE32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3E76" w14:textId="0BA8E0D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FFCC" w14:textId="31085F0C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012A" w14:textId="284237E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69BE" w14:textId="19385496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94C9" w14:textId="3EF687FD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B90A" w14:textId="31C156A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7C30" w14:textId="4AAEDDA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2930" w14:textId="535732D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D18E" w14:textId="726A020F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D1A7C" w14:textId="67DDE51E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0873" w14:textId="46ABB0DA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F1EE" w14:textId="43AC65D3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FC3E" w14:textId="5202B201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CCFD" w14:textId="0D0A766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CC00E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海巡(人)0、海巡(車)0</w:t>
            </w:r>
          </w:p>
        </w:tc>
      </w:tr>
      <w:tr w:rsidR="00BF593B" w14:paraId="1B6EBFEB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29F35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AC71" w14:textId="47F90882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E2C04" w14:textId="1900B9A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5B6F" w14:textId="4E36A99D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A430" w14:textId="01570A7F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B0BD" w14:textId="7339E9C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FA56" w14:textId="67B9D26F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6726" w14:textId="27FAFE93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BCF3C" w14:textId="52D15FF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EDA3" w14:textId="642BE6C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72F0" w14:textId="3A0BEB64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2A3E" w14:textId="49F12E40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6A2F" w14:textId="3F7EDF6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F68DE" w14:textId="014D49CA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6AD51" w14:textId="0D1475E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DDC3" w14:textId="64FC804D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41D3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4080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04A49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593B" w14:paraId="14654F3E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61E8A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7696" w14:textId="243CC02C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4C41" w14:textId="5D592CA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4BCE" w14:textId="13226283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F0C8" w14:textId="4BA3CA1F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C056A" w14:textId="0EF314C4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AEC4" w14:textId="59BF601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6767" w14:textId="42B1238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97DD" w14:textId="36BC49ED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AAAA9" w14:textId="185FAFFF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0A22" w14:textId="37D19DB3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9431" w14:textId="7F9BA64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ED79" w14:textId="10E1CD9A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31459" w14:textId="4199546D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688F" w14:textId="3248BE61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801B4" w14:textId="2BBC4E7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225E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15108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E746C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593B" w14:paraId="53B98F7A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C8AE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75CD" w14:textId="4A186196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C3B53" w14:textId="42F426DC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CB0C0" w14:textId="726F9AB3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882B" w14:textId="6662B364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D254" w14:textId="67D5670C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2D256" w14:textId="08F41F9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DD58" w14:textId="0D5A3AC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6A55" w14:textId="2A9224D1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3844" w14:textId="3631F0A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4611" w14:textId="1146F239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F14F" w14:textId="69C73511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85CB6" w14:textId="721B83D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7301" w14:textId="249DFA6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DD2BE" w14:textId="5B9BB12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93A6" w14:textId="7EE83BC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F0BDC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6FED8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6B21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593B" w14:paraId="54BEE796" w14:textId="77777777" w:rsidTr="00BF593B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27E5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373D" w14:textId="05E0BDCE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D7BC" w14:textId="7E9BD1F6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0017" w14:textId="44EB669D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666B" w14:textId="03066F80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EFE92" w14:textId="241E7620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0FDD" w14:textId="6C543FD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6F8C" w14:textId="082FFD9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14AA" w14:textId="57810DA6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BB08D" w14:textId="405D57F5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CF31" w14:textId="1A4BCE81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4697" w14:textId="693DF1F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0D1B" w14:textId="2E49F884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C78F" w14:textId="66CFB4D8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9170" w14:textId="4959BAF4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6361" w14:textId="1265FF7B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7D71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45F8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26D8" w14:textId="77777777" w:rsidR="00BF593B" w:rsidRPr="00BF593B" w:rsidRDefault="00BF593B" w:rsidP="00BF593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7F3469F" w14:textId="435DF6A3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BF593B">
        <w:rPr>
          <w:rFonts w:ascii="標楷體" w:eastAsia="標楷體" w:hAnsi="標楷體" w:hint="eastAsia"/>
          <w:b/>
          <w:bCs/>
          <w:sz w:val="32"/>
          <w:szCs w:val="32"/>
        </w:rPr>
        <w:t>:無</w:t>
      </w:r>
    </w:p>
    <w:p w14:paraId="3AE90413" w14:textId="77777777" w:rsidR="00CB7A46" w:rsidRDefault="00000000">
      <w:pPr>
        <w:spacing w:line="320" w:lineRule="atLeast"/>
      </w:pPr>
      <w:r>
        <w:t> </w:t>
      </w:r>
    </w:p>
    <w:sectPr w:rsidR="00CB7A4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D0"/>
    <w:rsid w:val="00035AB5"/>
    <w:rsid w:val="00082FD0"/>
    <w:rsid w:val="003E1811"/>
    <w:rsid w:val="0069100F"/>
    <w:rsid w:val="00A379B9"/>
    <w:rsid w:val="00B505F6"/>
    <w:rsid w:val="00BF593B"/>
    <w:rsid w:val="00CB7A46"/>
    <w:rsid w:val="00D215F5"/>
    <w:rsid w:val="00F5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40920"/>
  <w15:chartTrackingRefBased/>
  <w15:docId w15:val="{73D4CAD4-E78D-4814-B21E-35002110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2023-09-02T13:41:00Z</cp:lastPrinted>
  <dcterms:created xsi:type="dcterms:W3CDTF">2023-09-02T13:54:00Z</dcterms:created>
  <dcterms:modified xsi:type="dcterms:W3CDTF">2023-09-02T13:54:00Z</dcterms:modified>
</cp:coreProperties>
</file>